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4A" w:rsidRDefault="00233E4A" w:rsidP="008A3D5E">
      <w:pPr>
        <w:rPr>
          <w:b/>
          <w:sz w:val="22"/>
        </w:rPr>
      </w:pPr>
      <w:bookmarkStart w:id="0" w:name="OLE_LINK3"/>
    </w:p>
    <w:p w:rsidR="00233E4A" w:rsidRDefault="00233E4A" w:rsidP="008A3D5E">
      <w:pPr>
        <w:rPr>
          <w:b/>
          <w:sz w:val="22"/>
        </w:rPr>
      </w:pPr>
    </w:p>
    <w:p w:rsidR="006F32C4" w:rsidRDefault="00C768B5" w:rsidP="008A3D5E">
      <w:pPr>
        <w:rPr>
          <w:b/>
          <w:sz w:val="22"/>
        </w:rPr>
      </w:pPr>
      <w:r>
        <w:rPr>
          <w:b/>
          <w:sz w:val="22"/>
        </w:rPr>
        <w:t>Canossa Kindergarten</w:t>
      </w:r>
    </w:p>
    <w:p w:rsidR="008A3D5E" w:rsidRPr="0083267D" w:rsidRDefault="008A3D5E" w:rsidP="008A3D5E">
      <w:pPr>
        <w:rPr>
          <w:sz w:val="22"/>
        </w:rPr>
      </w:pPr>
    </w:p>
    <w:p w:rsidR="006F32C4" w:rsidRDefault="006F32C4" w:rsidP="006F32C4">
      <w:pPr>
        <w:pBdr>
          <w:bottom w:val="single" w:sz="4" w:space="1" w:color="auto"/>
        </w:pBdr>
        <w:rPr>
          <w:b/>
          <w:sz w:val="22"/>
        </w:rPr>
      </w:pPr>
    </w:p>
    <w:p w:rsidR="006F32C4" w:rsidRPr="00466D14" w:rsidRDefault="006F32C4" w:rsidP="008A3D5E">
      <w:pPr>
        <w:pBdr>
          <w:bottom w:val="single" w:sz="4" w:space="1" w:color="auto"/>
        </w:pBdr>
        <w:jc w:val="left"/>
        <w:rPr>
          <w:b/>
          <w:sz w:val="22"/>
        </w:rPr>
      </w:pPr>
      <w:r w:rsidRPr="00466D14">
        <w:rPr>
          <w:b/>
          <w:sz w:val="22"/>
        </w:rPr>
        <w:t>Background</w:t>
      </w:r>
    </w:p>
    <w:p w:rsidR="006F32C4" w:rsidRPr="00466D14" w:rsidRDefault="006F32C4" w:rsidP="006F32C4">
      <w:pPr>
        <w:rPr>
          <w:rFonts w:cs="TTE19AD460t00"/>
          <w:color w:val="000000"/>
          <w:sz w:val="22"/>
        </w:rPr>
      </w:pPr>
    </w:p>
    <w:p w:rsidR="006F32C4" w:rsidRDefault="006F32C4" w:rsidP="006F32C4">
      <w:pPr>
        <w:pStyle w:val="NoSpacing"/>
        <w:jc w:val="both"/>
      </w:pPr>
      <w:r w:rsidRPr="004815E3">
        <w:t xml:space="preserve">Parents, staff and visitors to childcare </w:t>
      </w:r>
      <w:r w:rsidR="00164E62">
        <w:t>Service</w:t>
      </w:r>
      <w:r w:rsidRPr="004815E3">
        <w:t xml:space="preserve">s need to cooperate to ensure anyone entering the </w:t>
      </w:r>
      <w:r w:rsidR="00164E62">
        <w:t>Service</w:t>
      </w:r>
      <w:r w:rsidRPr="004815E3">
        <w:t xml:space="preserve"> is in good health so that the possibility of infections</w:t>
      </w:r>
      <w:r>
        <w:t xml:space="preserve"> </w:t>
      </w:r>
      <w:r w:rsidRPr="004815E3">
        <w:t xml:space="preserve">spreading to others is minimised. </w:t>
      </w:r>
    </w:p>
    <w:p w:rsidR="006F32C4" w:rsidRPr="004815E3" w:rsidRDefault="006F32C4" w:rsidP="006F32C4">
      <w:pPr>
        <w:pStyle w:val="NoSpacing"/>
        <w:jc w:val="both"/>
      </w:pPr>
    </w:p>
    <w:p w:rsidR="006F32C4" w:rsidRPr="004815E3" w:rsidRDefault="006F32C4" w:rsidP="008A3D5E">
      <w:pPr>
        <w:pBdr>
          <w:bottom w:val="single" w:sz="4" w:space="1" w:color="auto"/>
        </w:pBdr>
        <w:jc w:val="left"/>
        <w:rPr>
          <w:b/>
          <w:sz w:val="22"/>
        </w:rPr>
      </w:pPr>
      <w:r w:rsidRPr="004815E3">
        <w:rPr>
          <w:b/>
          <w:sz w:val="22"/>
        </w:rPr>
        <w:t>Policy statement</w:t>
      </w:r>
    </w:p>
    <w:p w:rsidR="006F32C4" w:rsidRDefault="006F32C4" w:rsidP="006F32C4">
      <w:pPr>
        <w:pStyle w:val="NoSpacing"/>
        <w:jc w:val="both"/>
        <w:rPr>
          <w:lang w:val="en-AU"/>
        </w:rPr>
      </w:pPr>
    </w:p>
    <w:p w:rsidR="006F32C4" w:rsidRDefault="006F32C4" w:rsidP="006F32C4">
      <w:pPr>
        <w:pStyle w:val="NoSpacing"/>
        <w:jc w:val="both"/>
      </w:pPr>
      <w:r w:rsidRPr="004815E3">
        <w:t xml:space="preserve">The Policy details the </w:t>
      </w:r>
      <w:r w:rsidR="00164E62">
        <w:t>Service</w:t>
      </w:r>
      <w:r w:rsidRPr="004815E3">
        <w:t xml:space="preserve">’s practices for managing unwell children and adults at the </w:t>
      </w:r>
      <w:r w:rsidR="00164E62">
        <w:t>Service</w:t>
      </w:r>
      <w:r w:rsidRPr="004815E3">
        <w:t xml:space="preserve"> to minimise the spread of infection to others. </w:t>
      </w:r>
      <w:bookmarkStart w:id="1" w:name="OLE_LINK4"/>
    </w:p>
    <w:p w:rsidR="006F32C4" w:rsidRPr="004815E3" w:rsidRDefault="006F32C4" w:rsidP="006F32C4">
      <w:pPr>
        <w:pStyle w:val="NoSpacing"/>
        <w:jc w:val="both"/>
        <w:rPr>
          <w:b/>
        </w:rPr>
      </w:pPr>
    </w:p>
    <w:bookmarkEnd w:id="1"/>
    <w:p w:rsidR="006F32C4" w:rsidRPr="00466D14" w:rsidRDefault="006F32C4" w:rsidP="008A3D5E">
      <w:pPr>
        <w:pBdr>
          <w:bottom w:val="single" w:sz="4" w:space="1" w:color="auto"/>
        </w:pBdr>
        <w:jc w:val="left"/>
        <w:rPr>
          <w:b/>
          <w:sz w:val="22"/>
        </w:rPr>
      </w:pPr>
      <w:r w:rsidRPr="00466D14">
        <w:rPr>
          <w:b/>
          <w:sz w:val="22"/>
        </w:rPr>
        <w:t>Strategies and practices</w:t>
      </w:r>
    </w:p>
    <w:p w:rsidR="006F32C4" w:rsidRPr="00466D14" w:rsidRDefault="006F32C4" w:rsidP="006F32C4">
      <w:pPr>
        <w:suppressAutoHyphens/>
        <w:jc w:val="both"/>
        <w:rPr>
          <w:rFonts w:cs="Calibri"/>
          <w:color w:val="FF00FF"/>
          <w:sz w:val="22"/>
        </w:rPr>
      </w:pPr>
    </w:p>
    <w:p w:rsidR="006F32C4" w:rsidRPr="00466D14" w:rsidRDefault="006F32C4" w:rsidP="002E1836">
      <w:pPr>
        <w:pStyle w:val="NoSpacing"/>
        <w:numPr>
          <w:ilvl w:val="0"/>
          <w:numId w:val="8"/>
        </w:numPr>
        <w:jc w:val="both"/>
      </w:pPr>
      <w:r w:rsidRPr="008C1907">
        <w:rPr>
          <w:rFonts w:cs="Arial"/>
          <w:lang w:val="en-AU"/>
        </w:rPr>
        <w:t xml:space="preserve">The </w:t>
      </w:r>
      <w:r w:rsidRPr="008C1907">
        <w:rPr>
          <w:rFonts w:cs="Arial"/>
          <w:i/>
          <w:lang w:val="en-AU"/>
        </w:rPr>
        <w:t>Managing Infectious Diseases Policy</w:t>
      </w:r>
      <w:r w:rsidRPr="008C1907">
        <w:rPr>
          <w:rFonts w:cs="Arial"/>
          <w:lang w:val="en-AU"/>
        </w:rPr>
        <w:t xml:space="preserve"> is </w:t>
      </w:r>
      <w:r w:rsidRPr="008C1907">
        <w:rPr>
          <w:rFonts w:cs="Arial"/>
        </w:rPr>
        <w:t xml:space="preserve">explained to parents when they enrol their child in the </w:t>
      </w:r>
      <w:r w:rsidR="00164E62">
        <w:rPr>
          <w:rFonts w:cs="Arial"/>
        </w:rPr>
        <w:t>Service</w:t>
      </w:r>
      <w:r w:rsidRPr="008C1907">
        <w:rPr>
          <w:rFonts w:cs="Arial"/>
        </w:rPr>
        <w:t>, and their attention is specifically</w:t>
      </w:r>
      <w:r w:rsidRPr="00466D14">
        <w:rPr>
          <w:rFonts w:cs="Arial"/>
        </w:rPr>
        <w:t xml:space="preserve"> drawn to their responsibilities under the Policy. I</w:t>
      </w:r>
      <w:r w:rsidRPr="00466D14">
        <w:rPr>
          <w:rFonts w:cs="Calibri"/>
        </w:rPr>
        <w:t xml:space="preserve">nformation about infectious conditions and </w:t>
      </w:r>
      <w:r w:rsidRPr="00466D14">
        <w:rPr>
          <w:rFonts w:cs="TTE19AD460t00"/>
        </w:rPr>
        <w:t xml:space="preserve">minimum exclusion periods for these conditions is included in the </w:t>
      </w:r>
      <w:r w:rsidRPr="00466D14">
        <w:rPr>
          <w:rFonts w:cs="Calibri"/>
        </w:rPr>
        <w:t xml:space="preserve">Parent Handbook provided to parents at enrolment. </w:t>
      </w:r>
    </w:p>
    <w:p w:rsidR="006F32C4" w:rsidRPr="00466D14" w:rsidRDefault="006F32C4" w:rsidP="006F32C4">
      <w:pPr>
        <w:pStyle w:val="NoSpacing"/>
        <w:ind w:left="360"/>
        <w:jc w:val="both"/>
      </w:pPr>
    </w:p>
    <w:p w:rsidR="006F32C4" w:rsidRPr="00466D14" w:rsidRDefault="006F32C4" w:rsidP="002E183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TE19B9188t00"/>
          <w:sz w:val="22"/>
        </w:rPr>
      </w:pPr>
      <w:r w:rsidRPr="00466D14">
        <w:rPr>
          <w:rFonts w:cs="ArialMT"/>
          <w:sz w:val="22"/>
        </w:rPr>
        <w:t>Educators a</w:t>
      </w:r>
      <w:r w:rsidRPr="00466D14">
        <w:rPr>
          <w:sz w:val="22"/>
        </w:rPr>
        <w:t xml:space="preserve">re informed of the symptoms of excludable illnesses and disease and of infection control through staff meetings and professional development, and are provided with educational materials. They </w:t>
      </w:r>
      <w:r w:rsidRPr="00466D14">
        <w:rPr>
          <w:rFonts w:cs="TTE19AD460t00"/>
          <w:sz w:val="22"/>
        </w:rPr>
        <w:t xml:space="preserve">are alert to the signs of illness in children and respond accordingly. The signs include: </w:t>
      </w:r>
      <w:r w:rsidRPr="00466D14">
        <w:rPr>
          <w:rFonts w:cs="TTE19B9188t00"/>
          <w:sz w:val="22"/>
        </w:rPr>
        <w:t xml:space="preserve">  </w:t>
      </w:r>
    </w:p>
    <w:p w:rsidR="006F32C4" w:rsidRPr="00466D14" w:rsidRDefault="006F32C4" w:rsidP="002E183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cs="TTE19B9188t00"/>
          <w:sz w:val="22"/>
        </w:rPr>
      </w:pPr>
      <w:r w:rsidRPr="00466D14">
        <w:rPr>
          <w:rFonts w:cs="TTE19B9188t00"/>
          <w:sz w:val="22"/>
        </w:rPr>
        <w:t>severe, persistent or prolonged coughing</w:t>
      </w:r>
    </w:p>
    <w:p w:rsidR="006F32C4" w:rsidRPr="00466D14" w:rsidRDefault="006F32C4" w:rsidP="002E183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cs="TTE19B9188t00"/>
          <w:sz w:val="22"/>
        </w:rPr>
      </w:pPr>
      <w:r w:rsidRPr="00466D14">
        <w:rPr>
          <w:rFonts w:cs="TTE19B9188t00"/>
          <w:sz w:val="22"/>
        </w:rPr>
        <w:t>breathing difficulties (e.g. noisy, wheezy)</w:t>
      </w:r>
    </w:p>
    <w:p w:rsidR="006F32C4" w:rsidRPr="00466D14" w:rsidRDefault="006F32C4" w:rsidP="002E183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cs="TTE19B9188t00"/>
          <w:sz w:val="22"/>
        </w:rPr>
      </w:pPr>
      <w:r w:rsidRPr="00466D14">
        <w:rPr>
          <w:rFonts w:cs="TTE19B9188t00"/>
          <w:sz w:val="22"/>
        </w:rPr>
        <w:t>yellowish skin or eyes</w:t>
      </w:r>
    </w:p>
    <w:p w:rsidR="006F32C4" w:rsidRPr="00466D14" w:rsidRDefault="006F32C4" w:rsidP="002E183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cs="TTE19B9188t00"/>
          <w:sz w:val="22"/>
        </w:rPr>
      </w:pPr>
      <w:r w:rsidRPr="00466D14">
        <w:rPr>
          <w:rFonts w:cs="TTE19B9188t00"/>
          <w:sz w:val="22"/>
        </w:rPr>
        <w:t>irritated eyes, eye lining red, pus from eyes</w:t>
      </w:r>
    </w:p>
    <w:p w:rsidR="006F32C4" w:rsidRPr="00466D14" w:rsidRDefault="006F32C4" w:rsidP="002E183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cs="TTE19B9188t00"/>
          <w:sz w:val="22"/>
        </w:rPr>
      </w:pPr>
      <w:r w:rsidRPr="00466D14">
        <w:rPr>
          <w:rFonts w:cs="TTE19B9188t00"/>
          <w:sz w:val="22"/>
        </w:rPr>
        <w:t>unusual spots or rashes</w:t>
      </w:r>
    </w:p>
    <w:p w:rsidR="006F32C4" w:rsidRPr="00466D14" w:rsidRDefault="006F32C4" w:rsidP="002E183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cs="TTE19B9188t00"/>
          <w:sz w:val="22"/>
        </w:rPr>
      </w:pPr>
      <w:r w:rsidRPr="00466D14">
        <w:rPr>
          <w:rFonts w:cs="TTE19B9188t00"/>
          <w:sz w:val="22"/>
        </w:rPr>
        <w:t>vomiting and/or diarrhoea</w:t>
      </w:r>
    </w:p>
    <w:p w:rsidR="006F32C4" w:rsidRPr="00466D14" w:rsidRDefault="006F32C4" w:rsidP="002E183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cs="TTE19B9188t00"/>
          <w:sz w:val="22"/>
        </w:rPr>
      </w:pPr>
      <w:r w:rsidRPr="00466D14">
        <w:rPr>
          <w:rFonts w:cs="TTE19B9188t00"/>
          <w:sz w:val="22"/>
        </w:rPr>
        <w:t>temperature over 38 degrees Celsius</w:t>
      </w:r>
    </w:p>
    <w:p w:rsidR="006F32C4" w:rsidRPr="00466D14" w:rsidRDefault="006F32C4" w:rsidP="002E183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cs="TTE19AD460t00"/>
          <w:sz w:val="22"/>
        </w:rPr>
      </w:pPr>
      <w:proofErr w:type="gramStart"/>
      <w:r w:rsidRPr="00466D14">
        <w:rPr>
          <w:rFonts w:cs="TTE19B9188t00"/>
          <w:sz w:val="22"/>
        </w:rPr>
        <w:t>behaviour</w:t>
      </w:r>
      <w:proofErr w:type="gramEnd"/>
      <w:r w:rsidRPr="00466D14">
        <w:rPr>
          <w:rFonts w:cs="TTE19B9188t00"/>
          <w:sz w:val="22"/>
        </w:rPr>
        <w:t xml:space="preserve"> exhibited that is not ‘normal’ for the child  (e.g. sleeping, being unable to participate in the daily activities as usual). </w:t>
      </w:r>
      <w:r>
        <w:rPr>
          <w:rFonts w:cs="TTE19B9188t00"/>
          <w:sz w:val="22"/>
        </w:rPr>
        <w:t xml:space="preserve"> </w:t>
      </w:r>
    </w:p>
    <w:p w:rsidR="006F32C4" w:rsidRPr="00466D14" w:rsidRDefault="006F32C4" w:rsidP="006F32C4">
      <w:pPr>
        <w:autoSpaceDE w:val="0"/>
        <w:autoSpaceDN w:val="0"/>
        <w:adjustRightInd w:val="0"/>
        <w:ind w:left="1080"/>
        <w:jc w:val="both"/>
        <w:rPr>
          <w:rFonts w:cs="TTE19AD460t00"/>
          <w:sz w:val="22"/>
        </w:rPr>
      </w:pPr>
    </w:p>
    <w:p w:rsidR="006F32C4" w:rsidRPr="008F0FE7" w:rsidRDefault="006F32C4" w:rsidP="002E183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TE19AD460t00"/>
          <w:sz w:val="22"/>
        </w:rPr>
      </w:pPr>
      <w:r w:rsidRPr="008F0FE7">
        <w:rPr>
          <w:rFonts w:cs="TTE19AD460t00"/>
          <w:sz w:val="22"/>
        </w:rPr>
        <w:t xml:space="preserve">The </w:t>
      </w:r>
      <w:r w:rsidR="00164E62">
        <w:rPr>
          <w:rFonts w:cs="TTE19AD460t00"/>
          <w:sz w:val="22"/>
        </w:rPr>
        <w:t>Service</w:t>
      </w:r>
      <w:r w:rsidRPr="008F0FE7">
        <w:rPr>
          <w:rFonts w:cs="TTE19AD460t00"/>
          <w:sz w:val="22"/>
        </w:rPr>
        <w:t>’s roster ensures sufficient educators with first aid qualifications are on site at all times children are present.</w:t>
      </w:r>
    </w:p>
    <w:p w:rsidR="006F32C4" w:rsidRPr="00466D14" w:rsidRDefault="006F32C4" w:rsidP="006F32C4">
      <w:pPr>
        <w:autoSpaceDE w:val="0"/>
        <w:autoSpaceDN w:val="0"/>
        <w:adjustRightInd w:val="0"/>
        <w:jc w:val="both"/>
        <w:rPr>
          <w:rFonts w:cs="TTE19AD460t00"/>
          <w:sz w:val="22"/>
        </w:rPr>
      </w:pPr>
    </w:p>
    <w:p w:rsidR="006F32C4" w:rsidRPr="00466D14" w:rsidRDefault="006F32C4" w:rsidP="002E1836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cs="TTE19B9188t00"/>
          <w:sz w:val="22"/>
        </w:rPr>
      </w:pPr>
      <w:r w:rsidRPr="00466D14">
        <w:rPr>
          <w:rFonts w:cs="TTE19B9188t00"/>
          <w:sz w:val="22"/>
        </w:rPr>
        <w:t xml:space="preserve">All instances of illnesses and infectious diseases (children and staff) are recorded in the </w:t>
      </w:r>
      <w:r w:rsidRPr="00466D14">
        <w:rPr>
          <w:rFonts w:cs="TTE19B9188t00"/>
          <w:sz w:val="22"/>
          <w:u w:val="single"/>
        </w:rPr>
        <w:t>Illness and Infectious Disease Register</w:t>
      </w:r>
      <w:r w:rsidRPr="00466D14">
        <w:rPr>
          <w:rFonts w:cs="TTE19B9188t00"/>
          <w:sz w:val="22"/>
        </w:rPr>
        <w:t xml:space="preserve"> so that they may be tracked and any spread minimised. The Register is kept in the main office. </w:t>
      </w:r>
    </w:p>
    <w:p w:rsidR="006F32C4" w:rsidRPr="00466D14" w:rsidRDefault="006F32C4" w:rsidP="006F32C4">
      <w:pPr>
        <w:autoSpaceDE w:val="0"/>
        <w:autoSpaceDN w:val="0"/>
        <w:adjustRightInd w:val="0"/>
        <w:ind w:left="360"/>
        <w:jc w:val="both"/>
        <w:rPr>
          <w:rFonts w:cs="TTE19AD460t00"/>
          <w:sz w:val="22"/>
        </w:rPr>
      </w:pPr>
    </w:p>
    <w:p w:rsidR="006F32C4" w:rsidRPr="00466D14" w:rsidRDefault="006F32C4" w:rsidP="002E183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TE19AD460t00"/>
          <w:sz w:val="22"/>
        </w:rPr>
      </w:pPr>
      <w:r w:rsidRPr="00466D14">
        <w:rPr>
          <w:rFonts w:cs="TTE19AD460t00"/>
          <w:sz w:val="22"/>
        </w:rPr>
        <w:t xml:space="preserve">Educators intentionally teach children health and safety practices to prevent the spread of contagious diseases. </w:t>
      </w:r>
      <w:r>
        <w:rPr>
          <w:rFonts w:cs="TTE19AD460t00"/>
          <w:sz w:val="22"/>
        </w:rPr>
        <w:t xml:space="preserve"> </w:t>
      </w:r>
    </w:p>
    <w:p w:rsidR="006F32C4" w:rsidRPr="00466D14" w:rsidRDefault="006F32C4" w:rsidP="006F32C4">
      <w:pPr>
        <w:autoSpaceDE w:val="0"/>
        <w:autoSpaceDN w:val="0"/>
        <w:adjustRightInd w:val="0"/>
        <w:jc w:val="both"/>
        <w:rPr>
          <w:rFonts w:cs="TTE19AD460t00"/>
          <w:sz w:val="22"/>
        </w:rPr>
      </w:pPr>
    </w:p>
    <w:p w:rsidR="006F32C4" w:rsidRPr="00D779C4" w:rsidRDefault="006F32C4" w:rsidP="002E183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TE19B9188t00"/>
          <w:sz w:val="22"/>
        </w:rPr>
      </w:pPr>
      <w:r w:rsidRPr="00466D14">
        <w:rPr>
          <w:rFonts w:cs="TTE19AD460t00"/>
          <w:sz w:val="22"/>
        </w:rPr>
        <w:t xml:space="preserve">The </w:t>
      </w:r>
      <w:r w:rsidR="00164E62">
        <w:rPr>
          <w:rFonts w:cs="TTE19AD460t00"/>
          <w:sz w:val="22"/>
        </w:rPr>
        <w:t>Service</w:t>
      </w:r>
      <w:r w:rsidRPr="00466D14">
        <w:rPr>
          <w:rFonts w:cs="TTE19AD460t00"/>
          <w:sz w:val="22"/>
        </w:rPr>
        <w:t xml:space="preserve"> strictly adheres to the National Health and Medical Research Council’s recommended minimum exclusion periods for infectious </w:t>
      </w:r>
      <w:r w:rsidRPr="00D779C4">
        <w:rPr>
          <w:rFonts w:cs="TTE19AD460t00"/>
          <w:sz w:val="22"/>
        </w:rPr>
        <w:t xml:space="preserve">conditions. The </w:t>
      </w:r>
      <w:r w:rsidRPr="00D779C4">
        <w:rPr>
          <w:rFonts w:cs="TTE19AD460t00"/>
          <w:sz w:val="22"/>
          <w:u w:val="single"/>
        </w:rPr>
        <w:t>Time Out Poster</w:t>
      </w:r>
      <w:r w:rsidR="004C28BB" w:rsidRPr="00D779C4">
        <w:rPr>
          <w:rFonts w:cs="TTE19AD460t00"/>
          <w:sz w:val="22"/>
          <w:u w:val="single"/>
        </w:rPr>
        <w:t xml:space="preserve"> – Queensland Health</w:t>
      </w:r>
      <w:r w:rsidR="004C28BB" w:rsidRPr="00D779C4">
        <w:rPr>
          <w:rFonts w:cs="TTE19AD460t00"/>
          <w:sz w:val="22"/>
        </w:rPr>
        <w:t xml:space="preserve"> and/or the </w:t>
      </w:r>
      <w:r w:rsidR="004C28BB" w:rsidRPr="00D779C4">
        <w:rPr>
          <w:rFonts w:cs="TTE19AD460t00"/>
          <w:sz w:val="22"/>
          <w:u w:val="single"/>
        </w:rPr>
        <w:t>Recommended Minimum Exclusion Periods Poster – NHMRC</w:t>
      </w:r>
      <w:r w:rsidR="004C28BB" w:rsidRPr="00D779C4">
        <w:rPr>
          <w:rFonts w:cs="TTE19AD460t00"/>
          <w:sz w:val="22"/>
        </w:rPr>
        <w:t xml:space="preserve"> </w:t>
      </w:r>
      <w:r w:rsidRPr="00D779C4">
        <w:rPr>
          <w:rFonts w:cs="TTE19AD460t00"/>
          <w:sz w:val="22"/>
        </w:rPr>
        <w:t xml:space="preserve">detailing these periods is displayed prominently in the foyer and in other areas of the </w:t>
      </w:r>
      <w:r w:rsidR="00164E62" w:rsidRPr="00D779C4">
        <w:rPr>
          <w:rFonts w:cs="TTE19AD460t00"/>
          <w:sz w:val="22"/>
        </w:rPr>
        <w:t>Service</w:t>
      </w:r>
      <w:r w:rsidRPr="00D779C4">
        <w:rPr>
          <w:rFonts w:cs="TTE19AD460t00"/>
          <w:sz w:val="22"/>
        </w:rPr>
        <w:t xml:space="preserve">.   </w:t>
      </w:r>
    </w:p>
    <w:p w:rsidR="006F32C4" w:rsidRPr="00466D14" w:rsidRDefault="006F32C4" w:rsidP="006F32C4">
      <w:pPr>
        <w:autoSpaceDE w:val="0"/>
        <w:autoSpaceDN w:val="0"/>
        <w:adjustRightInd w:val="0"/>
        <w:ind w:left="360"/>
        <w:jc w:val="both"/>
        <w:rPr>
          <w:rFonts w:cs="TTE19AD460t00"/>
          <w:color w:val="008000"/>
          <w:sz w:val="22"/>
        </w:rPr>
      </w:pPr>
    </w:p>
    <w:p w:rsidR="006F32C4" w:rsidRPr="00466D14" w:rsidRDefault="006F32C4" w:rsidP="002E183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TE19B9188t00"/>
          <w:sz w:val="22"/>
        </w:rPr>
      </w:pPr>
      <w:r w:rsidRPr="00466D14">
        <w:rPr>
          <w:rFonts w:cs="TTE19B9188t00"/>
          <w:sz w:val="22"/>
        </w:rPr>
        <w:t xml:space="preserve">If an outbreak of an infectious disease occurs in the </w:t>
      </w:r>
      <w:r w:rsidR="00164E62">
        <w:rPr>
          <w:rFonts w:cs="TTE19B9188t00"/>
          <w:sz w:val="22"/>
        </w:rPr>
        <w:t>Service</w:t>
      </w:r>
      <w:r w:rsidRPr="00466D14">
        <w:rPr>
          <w:rFonts w:cs="TTE19B9188t00"/>
          <w:sz w:val="22"/>
        </w:rPr>
        <w:t xml:space="preserve">, parents are informed verbally and by notices displayed throughout the </w:t>
      </w:r>
      <w:r w:rsidR="00164E62">
        <w:rPr>
          <w:rFonts w:cs="TTE19B9188t00"/>
          <w:sz w:val="22"/>
        </w:rPr>
        <w:t>Service</w:t>
      </w:r>
      <w:r w:rsidRPr="00466D14">
        <w:rPr>
          <w:rFonts w:cs="TTE19B9188t00"/>
          <w:sz w:val="22"/>
        </w:rPr>
        <w:t xml:space="preserve">. Information given to parents will include the </w:t>
      </w:r>
      <w:r w:rsidRPr="00466D14">
        <w:rPr>
          <w:rFonts w:cs="TTE19AD460t00"/>
          <w:sz w:val="22"/>
        </w:rPr>
        <w:t xml:space="preserve">nature of the illness, symptoms, incubation and infectious periods and the </w:t>
      </w:r>
      <w:r w:rsidR="00164E62">
        <w:rPr>
          <w:rFonts w:cs="TTE19AD460t00"/>
          <w:sz w:val="22"/>
        </w:rPr>
        <w:t>Service</w:t>
      </w:r>
      <w:r w:rsidRPr="00466D14">
        <w:rPr>
          <w:rFonts w:cs="TTE19AD460t00"/>
          <w:sz w:val="22"/>
        </w:rPr>
        <w:t>’s exclusion requirements for the illness.</w:t>
      </w:r>
      <w:r w:rsidRPr="00466D14">
        <w:rPr>
          <w:rFonts w:cs="TTE19B9188t00"/>
          <w:sz w:val="22"/>
        </w:rPr>
        <w:t xml:space="preserve"> </w:t>
      </w:r>
    </w:p>
    <w:p w:rsidR="006F32C4" w:rsidRPr="00466D14" w:rsidRDefault="006F32C4" w:rsidP="006F32C4">
      <w:pPr>
        <w:autoSpaceDE w:val="0"/>
        <w:autoSpaceDN w:val="0"/>
        <w:adjustRightInd w:val="0"/>
        <w:ind w:left="360"/>
        <w:jc w:val="both"/>
        <w:rPr>
          <w:rFonts w:cs="TTE19B9188t00"/>
          <w:color w:val="FF0000"/>
          <w:sz w:val="22"/>
        </w:rPr>
      </w:pPr>
    </w:p>
    <w:p w:rsidR="006F32C4" w:rsidRPr="00466D14" w:rsidRDefault="006F32C4" w:rsidP="002E1836">
      <w:pPr>
        <w:pStyle w:val="NoSpacing"/>
        <w:numPr>
          <w:ilvl w:val="0"/>
          <w:numId w:val="8"/>
        </w:numPr>
        <w:jc w:val="both"/>
      </w:pPr>
      <w:r w:rsidRPr="00466D14">
        <w:t xml:space="preserve">The </w:t>
      </w:r>
      <w:r w:rsidR="00164E62">
        <w:t>Service</w:t>
      </w:r>
      <w:r w:rsidRPr="00466D14">
        <w:t xml:space="preserve"> maintains a </w:t>
      </w:r>
      <w:r w:rsidRPr="00466D14">
        <w:rPr>
          <w:u w:val="single"/>
        </w:rPr>
        <w:t>Non-Immunised Children</w:t>
      </w:r>
      <w:r>
        <w:rPr>
          <w:u w:val="single"/>
        </w:rPr>
        <w:t xml:space="preserve"> - Register</w:t>
      </w:r>
      <w:r w:rsidRPr="00466D14">
        <w:t xml:space="preserve"> and a </w:t>
      </w:r>
      <w:r w:rsidRPr="00466D14">
        <w:rPr>
          <w:u w:val="single"/>
        </w:rPr>
        <w:t>Non-Immunised Staff</w:t>
      </w:r>
      <w:r>
        <w:rPr>
          <w:u w:val="single"/>
        </w:rPr>
        <w:t xml:space="preserve"> – Register</w:t>
      </w:r>
      <w:r>
        <w:t xml:space="preserve">. </w:t>
      </w:r>
      <w:r w:rsidRPr="00466D14">
        <w:t xml:space="preserve"> Where an </w:t>
      </w:r>
      <w:r w:rsidRPr="00466D14">
        <w:rPr>
          <w:rFonts w:cs="Arial"/>
        </w:rPr>
        <w:t xml:space="preserve">outbreak is a vaccine preventable disease, the </w:t>
      </w:r>
      <w:r w:rsidR="00164E62">
        <w:rPr>
          <w:rFonts w:cs="Arial"/>
        </w:rPr>
        <w:t>Service</w:t>
      </w:r>
      <w:r w:rsidRPr="00466D14">
        <w:rPr>
          <w:rFonts w:cs="Arial"/>
        </w:rPr>
        <w:t xml:space="preserve"> will notify the relevant health authority, and will follow that authority’s recommended guidelines and directives. Children and staff who are not immunised may be </w:t>
      </w:r>
      <w:r w:rsidRPr="00466D14">
        <w:rPr>
          <w:rFonts w:cs="ArialMT"/>
        </w:rPr>
        <w:t xml:space="preserve">excluded from the </w:t>
      </w:r>
      <w:r w:rsidR="00164E62">
        <w:rPr>
          <w:rFonts w:cs="ArialMT"/>
        </w:rPr>
        <w:t>Service</w:t>
      </w:r>
      <w:r w:rsidRPr="00466D14">
        <w:rPr>
          <w:rFonts w:cs="ArialMT"/>
        </w:rPr>
        <w:t xml:space="preserve"> for the duration of the outbreak. </w:t>
      </w:r>
      <w:r w:rsidRPr="00466D14">
        <w:t xml:space="preserve">Refer to the </w:t>
      </w:r>
      <w:r w:rsidR="00164E62">
        <w:t>Service</w:t>
      </w:r>
      <w:r w:rsidRPr="00466D14">
        <w:t xml:space="preserve">’s </w:t>
      </w:r>
      <w:r w:rsidRPr="00466D14">
        <w:rPr>
          <w:i/>
        </w:rPr>
        <w:t>Immunisation</w:t>
      </w:r>
      <w:r>
        <w:rPr>
          <w:i/>
        </w:rPr>
        <w:t xml:space="preserve"> for </w:t>
      </w:r>
      <w:r w:rsidRPr="00466D14">
        <w:rPr>
          <w:i/>
        </w:rPr>
        <w:t>Children and Staff Policy</w:t>
      </w:r>
      <w:r w:rsidRPr="00466D14">
        <w:t xml:space="preserve">. </w:t>
      </w:r>
    </w:p>
    <w:p w:rsidR="006F32C4" w:rsidRPr="00466D14" w:rsidRDefault="006F32C4" w:rsidP="006F32C4">
      <w:pPr>
        <w:pStyle w:val="NoSpacing"/>
        <w:jc w:val="both"/>
      </w:pPr>
    </w:p>
    <w:p w:rsidR="006F32C4" w:rsidRPr="00466D14" w:rsidRDefault="006F32C4" w:rsidP="002E183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MT"/>
          <w:sz w:val="22"/>
        </w:rPr>
      </w:pPr>
      <w:r w:rsidRPr="00466D14">
        <w:rPr>
          <w:rFonts w:cs="ArialMT"/>
          <w:sz w:val="22"/>
        </w:rPr>
        <w:t xml:space="preserve">In the case of serious ill health or hospitalisation, the child or staff member may be asked to provide a medical certificate verifying that they are sufficiently recovered to return to the </w:t>
      </w:r>
      <w:r w:rsidR="00164E62">
        <w:rPr>
          <w:rFonts w:cs="ArialMT"/>
          <w:sz w:val="22"/>
        </w:rPr>
        <w:t>Service</w:t>
      </w:r>
      <w:r w:rsidRPr="00466D14">
        <w:rPr>
          <w:rFonts w:cs="ArialMT"/>
          <w:sz w:val="22"/>
        </w:rPr>
        <w:t xml:space="preserve">. However, the Nominated Supervisor has the final say on whether the child or a staff member may return.   </w:t>
      </w:r>
    </w:p>
    <w:p w:rsidR="006F32C4" w:rsidRPr="00466D14" w:rsidRDefault="006F32C4" w:rsidP="006F32C4">
      <w:pPr>
        <w:pStyle w:val="NoSpacing"/>
        <w:ind w:left="360"/>
        <w:jc w:val="both"/>
      </w:pPr>
    </w:p>
    <w:p w:rsidR="006F32C4" w:rsidRPr="00466D14" w:rsidRDefault="006F32C4" w:rsidP="002E183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TE19B9188t00"/>
          <w:sz w:val="22"/>
        </w:rPr>
      </w:pPr>
      <w:r w:rsidRPr="00466D14">
        <w:rPr>
          <w:rFonts w:cs="TTE19B9188t00"/>
          <w:sz w:val="22"/>
        </w:rPr>
        <w:t xml:space="preserve">Parents are asked not to bring any unwell child into the </w:t>
      </w:r>
      <w:r w:rsidR="00164E62">
        <w:rPr>
          <w:rFonts w:cs="TTE19B9188t00"/>
          <w:sz w:val="22"/>
        </w:rPr>
        <w:t>Service</w:t>
      </w:r>
      <w:r w:rsidRPr="00466D14">
        <w:rPr>
          <w:rFonts w:cs="TTE19B9188t00"/>
          <w:sz w:val="22"/>
        </w:rPr>
        <w:t xml:space="preserve">, and not to enter the </w:t>
      </w:r>
      <w:r w:rsidR="00164E62">
        <w:rPr>
          <w:rFonts w:cs="TTE19B9188t00"/>
          <w:sz w:val="22"/>
        </w:rPr>
        <w:t>Service</w:t>
      </w:r>
      <w:r w:rsidRPr="00466D14">
        <w:rPr>
          <w:rFonts w:cs="TTE19B9188t00"/>
          <w:sz w:val="22"/>
        </w:rPr>
        <w:t xml:space="preserve"> if they are unwell themselves. The Nominated Supervisor can refuse entry to any child or adult (including a staff member) who comes to the </w:t>
      </w:r>
      <w:r w:rsidR="00164E62">
        <w:rPr>
          <w:rFonts w:cs="TTE19B9188t00"/>
          <w:sz w:val="22"/>
        </w:rPr>
        <w:t>Service</w:t>
      </w:r>
      <w:r w:rsidRPr="00466D14">
        <w:rPr>
          <w:rFonts w:cs="TTE19B9188t00"/>
          <w:sz w:val="22"/>
        </w:rPr>
        <w:t xml:space="preserve"> clearly unwell.</w:t>
      </w:r>
    </w:p>
    <w:p w:rsidR="006F32C4" w:rsidRPr="00466D14" w:rsidRDefault="006F32C4" w:rsidP="006F32C4">
      <w:pPr>
        <w:autoSpaceDE w:val="0"/>
        <w:autoSpaceDN w:val="0"/>
        <w:adjustRightInd w:val="0"/>
        <w:jc w:val="both"/>
        <w:rPr>
          <w:rFonts w:cs="TTE19B9188t00"/>
          <w:color w:val="FF0000"/>
          <w:sz w:val="22"/>
        </w:rPr>
      </w:pPr>
    </w:p>
    <w:p w:rsidR="006F32C4" w:rsidRPr="00466D14" w:rsidRDefault="006F32C4" w:rsidP="002E18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TE19B9188t00"/>
          <w:sz w:val="22"/>
        </w:rPr>
      </w:pPr>
      <w:r w:rsidRPr="00466D14">
        <w:rPr>
          <w:rFonts w:cs="TTE19B9188t00"/>
          <w:sz w:val="22"/>
        </w:rPr>
        <w:t xml:space="preserve">Should a child become unwell during the day, the parents or authorised person are contacted immediately to collect the child. The parent will be asked to sign the </w:t>
      </w:r>
      <w:r w:rsidRPr="00466D14">
        <w:rPr>
          <w:rFonts w:cs="TTE19B9188t00"/>
          <w:sz w:val="22"/>
          <w:u w:val="single"/>
        </w:rPr>
        <w:t>Incident, Injury, Trauma and Illness Record</w:t>
      </w:r>
      <w:r w:rsidRPr="00466D14">
        <w:rPr>
          <w:rFonts w:cs="TTE19B9188t00"/>
          <w:sz w:val="22"/>
        </w:rPr>
        <w:t xml:space="preserve">. If appropriate, the parent will be provided with a </w:t>
      </w:r>
      <w:r w:rsidR="00880661" w:rsidRPr="00880661">
        <w:rPr>
          <w:rFonts w:cs="TTE19B9188t00"/>
          <w:sz w:val="22"/>
          <w:u w:val="single"/>
        </w:rPr>
        <w:t xml:space="preserve">Parent/Doctor </w:t>
      </w:r>
      <w:r w:rsidRPr="00880661">
        <w:rPr>
          <w:rFonts w:cs="TTE19B9188t00"/>
          <w:sz w:val="22"/>
          <w:u w:val="single"/>
        </w:rPr>
        <w:t>Report</w:t>
      </w:r>
      <w:r w:rsidR="00880661">
        <w:rPr>
          <w:rFonts w:cs="TTE19B9188t00"/>
          <w:sz w:val="22"/>
          <w:u w:val="single"/>
        </w:rPr>
        <w:t>.</w:t>
      </w:r>
      <w:r>
        <w:rPr>
          <w:rFonts w:cs="TTE19B9188t00"/>
          <w:sz w:val="22"/>
        </w:rPr>
        <w:t xml:space="preserve"> </w:t>
      </w:r>
      <w:r>
        <w:rPr>
          <w:rFonts w:cs="TTE19B9188t00"/>
          <w:sz w:val="22"/>
          <w:u w:val="single"/>
        </w:rPr>
        <w:t xml:space="preserve"> </w:t>
      </w:r>
    </w:p>
    <w:p w:rsidR="006F32C4" w:rsidRPr="00466D14" w:rsidRDefault="006F32C4" w:rsidP="006F32C4">
      <w:pPr>
        <w:autoSpaceDE w:val="0"/>
        <w:autoSpaceDN w:val="0"/>
        <w:adjustRightInd w:val="0"/>
        <w:ind w:left="360"/>
        <w:jc w:val="both"/>
        <w:rPr>
          <w:rFonts w:cs="TTE19B9188t00"/>
          <w:sz w:val="22"/>
        </w:rPr>
      </w:pPr>
    </w:p>
    <w:p w:rsidR="006F32C4" w:rsidRPr="00466D14" w:rsidRDefault="006F32C4" w:rsidP="002E18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TE19B9188t00"/>
          <w:sz w:val="22"/>
        </w:rPr>
      </w:pPr>
      <w:r w:rsidRPr="00466D14">
        <w:rPr>
          <w:rFonts w:cs="TTE19B9188t00"/>
          <w:sz w:val="22"/>
        </w:rPr>
        <w:t xml:space="preserve">Staff who become ill during the day are sent home and replaced. </w:t>
      </w:r>
    </w:p>
    <w:p w:rsidR="006F32C4" w:rsidRPr="00466D14" w:rsidRDefault="006F32C4" w:rsidP="006F32C4">
      <w:pPr>
        <w:autoSpaceDE w:val="0"/>
        <w:autoSpaceDN w:val="0"/>
        <w:adjustRightInd w:val="0"/>
        <w:ind w:left="360"/>
        <w:jc w:val="both"/>
        <w:rPr>
          <w:rFonts w:cs="TTE19B9188t00"/>
          <w:color w:val="FF0000"/>
          <w:sz w:val="22"/>
        </w:rPr>
      </w:pPr>
    </w:p>
    <w:p w:rsidR="006F32C4" w:rsidRPr="00466D14" w:rsidRDefault="006F32C4" w:rsidP="002E18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TE19B9188t00"/>
          <w:sz w:val="22"/>
        </w:rPr>
      </w:pPr>
      <w:r w:rsidRPr="00466D14">
        <w:rPr>
          <w:rFonts w:cs="TTE19B9188t00"/>
          <w:sz w:val="22"/>
        </w:rPr>
        <w:t xml:space="preserve">To ensure the safety of other children, staff and visitors, parents are asked to inform the </w:t>
      </w:r>
      <w:r w:rsidR="00164E62">
        <w:rPr>
          <w:rFonts w:cs="TTE19B9188t00"/>
          <w:sz w:val="22"/>
        </w:rPr>
        <w:t>Service</w:t>
      </w:r>
      <w:r w:rsidRPr="00466D14">
        <w:rPr>
          <w:rFonts w:cs="TTE19B9188t00"/>
          <w:sz w:val="22"/>
        </w:rPr>
        <w:t xml:space="preserve"> if their child has been exposed to any infectious disease</w:t>
      </w:r>
      <w:r>
        <w:rPr>
          <w:rFonts w:cs="TTE19B9188t00"/>
          <w:sz w:val="22"/>
        </w:rPr>
        <w:t xml:space="preserve">. </w:t>
      </w:r>
      <w:r w:rsidRPr="00466D14">
        <w:rPr>
          <w:rFonts w:cs="TTE19B9188t00"/>
          <w:sz w:val="22"/>
        </w:rPr>
        <w:t xml:space="preserve"> </w:t>
      </w:r>
    </w:p>
    <w:p w:rsidR="006F32C4" w:rsidRPr="00C768B5" w:rsidRDefault="006F32C4" w:rsidP="00C768B5">
      <w:pPr>
        <w:pBdr>
          <w:bottom w:val="single" w:sz="4" w:space="1" w:color="auto"/>
        </w:pBdr>
        <w:jc w:val="left"/>
        <w:rPr>
          <w:b/>
          <w:sz w:val="22"/>
        </w:rPr>
      </w:pPr>
    </w:p>
    <w:p w:rsidR="006F32C4" w:rsidRPr="00466D14" w:rsidRDefault="006F32C4" w:rsidP="008A3D5E">
      <w:pPr>
        <w:pBdr>
          <w:bottom w:val="single" w:sz="4" w:space="1" w:color="auto"/>
        </w:pBdr>
        <w:jc w:val="left"/>
        <w:rPr>
          <w:sz w:val="22"/>
        </w:rPr>
      </w:pPr>
      <w:bookmarkStart w:id="2" w:name="_GoBack"/>
      <w:bookmarkEnd w:id="2"/>
      <w:r w:rsidRPr="00466D14">
        <w:rPr>
          <w:b/>
          <w:sz w:val="22"/>
        </w:rPr>
        <w:t>Responsibilities of parents</w:t>
      </w:r>
    </w:p>
    <w:p w:rsidR="006F32C4" w:rsidRPr="00466D14" w:rsidRDefault="006F32C4" w:rsidP="006F32C4">
      <w:pPr>
        <w:rPr>
          <w:i/>
          <w:sz w:val="22"/>
        </w:rPr>
      </w:pPr>
    </w:p>
    <w:p w:rsidR="006F32C4" w:rsidRPr="00466D14" w:rsidRDefault="006F32C4" w:rsidP="002E1836">
      <w:pPr>
        <w:pStyle w:val="NoSpacing"/>
        <w:numPr>
          <w:ilvl w:val="0"/>
          <w:numId w:val="8"/>
        </w:numPr>
        <w:jc w:val="both"/>
      </w:pPr>
      <w:r w:rsidRPr="00466D14">
        <w:t xml:space="preserve">To keep the </w:t>
      </w:r>
      <w:r w:rsidR="00164E62">
        <w:t>Service</w:t>
      </w:r>
      <w:r w:rsidRPr="00466D14">
        <w:t xml:space="preserve"> informed of their child’s current immunisation status.  </w:t>
      </w:r>
    </w:p>
    <w:p w:rsidR="006F32C4" w:rsidRPr="00466D14" w:rsidRDefault="006F32C4" w:rsidP="006F32C4">
      <w:pPr>
        <w:pStyle w:val="NoSpacing"/>
        <w:jc w:val="both"/>
      </w:pPr>
    </w:p>
    <w:p w:rsidR="006F32C4" w:rsidRPr="00466D14" w:rsidRDefault="006F32C4" w:rsidP="002E183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MT"/>
          <w:sz w:val="22"/>
        </w:rPr>
      </w:pPr>
      <w:r w:rsidRPr="00466D14">
        <w:rPr>
          <w:rFonts w:cs="ArialMT"/>
          <w:sz w:val="22"/>
        </w:rPr>
        <w:t xml:space="preserve">To provide, if requested, a medical certificate verifying that the child who has been unwell has sufficiently recovered to return to the </w:t>
      </w:r>
      <w:r w:rsidR="00164E62">
        <w:rPr>
          <w:rFonts w:cs="ArialMT"/>
          <w:sz w:val="22"/>
        </w:rPr>
        <w:t>Service</w:t>
      </w:r>
      <w:r w:rsidRPr="00466D14">
        <w:rPr>
          <w:rFonts w:cs="ArialMT"/>
          <w:sz w:val="22"/>
        </w:rPr>
        <w:t xml:space="preserve">.   </w:t>
      </w:r>
    </w:p>
    <w:p w:rsidR="006F32C4" w:rsidRPr="00466D14" w:rsidRDefault="006F32C4" w:rsidP="006F32C4">
      <w:pPr>
        <w:pStyle w:val="NoSpacing"/>
        <w:ind w:left="360"/>
        <w:jc w:val="both"/>
      </w:pPr>
    </w:p>
    <w:p w:rsidR="006F32C4" w:rsidRPr="00466D14" w:rsidRDefault="006F32C4" w:rsidP="002E18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466D14">
        <w:rPr>
          <w:rFonts w:cs="TTE19B9188t00"/>
          <w:sz w:val="22"/>
          <w:lang w:val="en-US"/>
        </w:rPr>
        <w:t xml:space="preserve">To keep unwell children away from the </w:t>
      </w:r>
      <w:r w:rsidR="00164E62">
        <w:rPr>
          <w:rFonts w:cs="TTE19B9188t00"/>
          <w:sz w:val="22"/>
          <w:lang w:val="en-US"/>
        </w:rPr>
        <w:t>Service</w:t>
      </w:r>
      <w:r w:rsidRPr="00466D14">
        <w:rPr>
          <w:rFonts w:cs="TTE19B9188t00"/>
          <w:sz w:val="22"/>
          <w:lang w:val="en-US"/>
        </w:rPr>
        <w:t xml:space="preserve">. </w:t>
      </w:r>
    </w:p>
    <w:p w:rsidR="006F32C4" w:rsidRPr="00466D14" w:rsidRDefault="006F32C4" w:rsidP="006F32C4">
      <w:pPr>
        <w:autoSpaceDE w:val="0"/>
        <w:autoSpaceDN w:val="0"/>
        <w:adjustRightInd w:val="0"/>
        <w:ind w:left="360"/>
        <w:jc w:val="both"/>
        <w:rPr>
          <w:rFonts w:cs="Arial"/>
          <w:sz w:val="22"/>
        </w:rPr>
      </w:pPr>
    </w:p>
    <w:p w:rsidR="006F32C4" w:rsidRPr="00466D14" w:rsidRDefault="006F32C4" w:rsidP="002E18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466D14">
        <w:rPr>
          <w:rFonts w:cs="TTE19B9188t00"/>
          <w:sz w:val="22"/>
        </w:rPr>
        <w:t xml:space="preserve">To remain away from the </w:t>
      </w:r>
      <w:r w:rsidR="00164E62">
        <w:rPr>
          <w:rFonts w:cs="TTE19B9188t00"/>
          <w:sz w:val="22"/>
        </w:rPr>
        <w:t>Service</w:t>
      </w:r>
      <w:r w:rsidRPr="00466D14">
        <w:rPr>
          <w:rFonts w:cs="TTE19B9188t00"/>
          <w:sz w:val="22"/>
        </w:rPr>
        <w:t xml:space="preserve"> when they themselves are unwell</w:t>
      </w:r>
      <w:r>
        <w:rPr>
          <w:rFonts w:cs="TTE19B9188t00"/>
          <w:sz w:val="22"/>
        </w:rPr>
        <w:t>.</w:t>
      </w:r>
    </w:p>
    <w:p w:rsidR="006F32C4" w:rsidRPr="00466D14" w:rsidRDefault="006F32C4" w:rsidP="006F32C4">
      <w:pPr>
        <w:autoSpaceDE w:val="0"/>
        <w:autoSpaceDN w:val="0"/>
        <w:adjustRightInd w:val="0"/>
        <w:ind w:left="360"/>
        <w:jc w:val="both"/>
        <w:rPr>
          <w:rFonts w:cs="Arial"/>
          <w:sz w:val="22"/>
        </w:rPr>
      </w:pPr>
    </w:p>
    <w:p w:rsidR="006F32C4" w:rsidRPr="00466D14" w:rsidRDefault="006F32C4" w:rsidP="002E18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TE19B9188t00"/>
          <w:sz w:val="22"/>
        </w:rPr>
      </w:pPr>
      <w:r w:rsidRPr="00466D14">
        <w:rPr>
          <w:rFonts w:cs="TTE19B9188t00"/>
          <w:sz w:val="22"/>
        </w:rPr>
        <w:t>To ar</w:t>
      </w:r>
      <w:smartTag w:uri="urn:schemas-microsoft-com:office:smarttags" w:element="PersonName">
        <w:r w:rsidRPr="00466D14">
          <w:rPr>
            <w:rFonts w:cs="TTE19B9188t00"/>
            <w:sz w:val="22"/>
          </w:rPr>
          <w:t>rang</w:t>
        </w:r>
      </w:smartTag>
      <w:r w:rsidRPr="00466D14">
        <w:rPr>
          <w:rFonts w:cs="TTE19B9188t00"/>
          <w:sz w:val="22"/>
        </w:rPr>
        <w:t xml:space="preserve">e prompt collection of their unwell child if contacted by the </w:t>
      </w:r>
      <w:r w:rsidR="00164E62">
        <w:rPr>
          <w:rFonts w:cs="TTE19B9188t00"/>
          <w:sz w:val="22"/>
        </w:rPr>
        <w:t>Service</w:t>
      </w:r>
      <w:r w:rsidRPr="00466D14">
        <w:rPr>
          <w:rFonts w:cs="TTE19B9188t00"/>
          <w:sz w:val="22"/>
        </w:rPr>
        <w:t xml:space="preserve">. </w:t>
      </w:r>
    </w:p>
    <w:p w:rsidR="006F32C4" w:rsidRPr="00466D14" w:rsidRDefault="006F32C4" w:rsidP="006F32C4">
      <w:pPr>
        <w:autoSpaceDE w:val="0"/>
        <w:autoSpaceDN w:val="0"/>
        <w:adjustRightInd w:val="0"/>
        <w:ind w:left="360"/>
        <w:jc w:val="both"/>
        <w:rPr>
          <w:rFonts w:cs="TTE19B9188t00"/>
          <w:color w:val="FF0000"/>
          <w:sz w:val="22"/>
        </w:rPr>
      </w:pPr>
    </w:p>
    <w:p w:rsidR="006F32C4" w:rsidRPr="00466D14" w:rsidRDefault="006F32C4" w:rsidP="002E18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TE19B9188t00"/>
          <w:sz w:val="22"/>
        </w:rPr>
      </w:pPr>
      <w:r w:rsidRPr="00466D14">
        <w:rPr>
          <w:rFonts w:cs="TTE19B9188t00"/>
          <w:sz w:val="22"/>
        </w:rPr>
        <w:t xml:space="preserve">To inform the </w:t>
      </w:r>
      <w:r w:rsidR="00164E62">
        <w:rPr>
          <w:rFonts w:cs="TTE19B9188t00"/>
          <w:sz w:val="22"/>
        </w:rPr>
        <w:t>Service</w:t>
      </w:r>
      <w:r w:rsidRPr="00466D14">
        <w:rPr>
          <w:rFonts w:cs="TTE19B9188t00"/>
          <w:sz w:val="22"/>
        </w:rPr>
        <w:t xml:space="preserve"> at any time their child has been exposed to an infectious disease.  </w:t>
      </w:r>
    </w:p>
    <w:p w:rsidR="006F32C4" w:rsidRPr="00466D14" w:rsidRDefault="006F32C4" w:rsidP="006F32C4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cs="ComicSansMS"/>
          <w:sz w:val="22"/>
          <w:lang w:eastAsia="en-AU"/>
        </w:rPr>
      </w:pPr>
    </w:p>
    <w:p w:rsidR="003D6877" w:rsidRDefault="003D6877" w:rsidP="003D6877">
      <w:pPr>
        <w:pBdr>
          <w:bottom w:val="single" w:sz="4" w:space="1" w:color="auto"/>
        </w:pBdr>
        <w:jc w:val="both"/>
        <w:rPr>
          <w:sz w:val="22"/>
        </w:rPr>
      </w:pPr>
      <w:r>
        <w:rPr>
          <w:b/>
          <w:sz w:val="22"/>
        </w:rPr>
        <w:t>Procedure and</w:t>
      </w:r>
      <w:r w:rsidR="00C31641">
        <w:rPr>
          <w:b/>
          <w:sz w:val="22"/>
        </w:rPr>
        <w:t xml:space="preserve"> f</w:t>
      </w:r>
      <w:r>
        <w:rPr>
          <w:b/>
          <w:sz w:val="22"/>
        </w:rPr>
        <w:t>orms</w:t>
      </w:r>
    </w:p>
    <w:p w:rsidR="003D6877" w:rsidRDefault="003D6877" w:rsidP="003D6877">
      <w:pPr>
        <w:jc w:val="both"/>
        <w:rPr>
          <w:i/>
          <w:color w:val="FF0000"/>
          <w:sz w:val="22"/>
        </w:rPr>
      </w:pPr>
    </w:p>
    <w:p w:rsidR="003D6877" w:rsidRPr="003D6877" w:rsidRDefault="003D6877" w:rsidP="003D687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Illness and Infectious Diseases Register</w:t>
      </w:r>
    </w:p>
    <w:p w:rsidR="003D6877" w:rsidRPr="003D6877" w:rsidRDefault="003D6877" w:rsidP="003D687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Incident, Injury, Illness and Trauma Record</w:t>
      </w:r>
    </w:p>
    <w:p w:rsidR="003D6877" w:rsidRPr="003D6877" w:rsidRDefault="003D6877" w:rsidP="003D687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Recommended Minimum Exclusion Periods Poster – NHMRC</w:t>
      </w:r>
    </w:p>
    <w:p w:rsidR="003D6877" w:rsidRPr="003D6877" w:rsidRDefault="003D6877" w:rsidP="003D687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lastRenderedPageBreak/>
        <w:t>Non-Immunised Children Register</w:t>
      </w:r>
    </w:p>
    <w:p w:rsidR="003D6877" w:rsidRPr="003D6877" w:rsidRDefault="003D6877" w:rsidP="003D687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Non-Immunised Staff Register</w:t>
      </w:r>
    </w:p>
    <w:p w:rsidR="003D6877" w:rsidRPr="003D6877" w:rsidRDefault="003D6877" w:rsidP="003D687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Parent/Doctor Report</w:t>
      </w:r>
    </w:p>
    <w:p w:rsidR="003D6877" w:rsidRDefault="003D6877" w:rsidP="003D687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Time Out Poster – Queensland Health*</w:t>
      </w:r>
    </w:p>
    <w:p w:rsidR="003D6877" w:rsidRDefault="003D6877" w:rsidP="00B83368">
      <w:pPr>
        <w:pBdr>
          <w:bottom w:val="single" w:sz="4" w:space="1" w:color="auto"/>
        </w:pBdr>
        <w:jc w:val="left"/>
        <w:rPr>
          <w:b/>
          <w:sz w:val="22"/>
        </w:rPr>
      </w:pPr>
    </w:p>
    <w:p w:rsidR="006F32C4" w:rsidRPr="00466D14" w:rsidRDefault="006F32C4" w:rsidP="00B83368">
      <w:pPr>
        <w:pBdr>
          <w:bottom w:val="single" w:sz="4" w:space="1" w:color="auto"/>
        </w:pBdr>
        <w:jc w:val="left"/>
        <w:rPr>
          <w:b/>
          <w:sz w:val="22"/>
        </w:rPr>
      </w:pPr>
      <w:r w:rsidRPr="00466D14">
        <w:rPr>
          <w:b/>
          <w:sz w:val="22"/>
        </w:rPr>
        <w:t>Links to other policies</w:t>
      </w:r>
    </w:p>
    <w:p w:rsidR="006F32C4" w:rsidRPr="00466D14" w:rsidRDefault="006F32C4" w:rsidP="006F32C4">
      <w:pPr>
        <w:rPr>
          <w:sz w:val="22"/>
        </w:rPr>
      </w:pPr>
    </w:p>
    <w:p w:rsidR="006F32C4" w:rsidRPr="00466D14" w:rsidRDefault="006F32C4" w:rsidP="002E1836">
      <w:pPr>
        <w:numPr>
          <w:ilvl w:val="0"/>
          <w:numId w:val="2"/>
        </w:numPr>
        <w:jc w:val="left"/>
        <w:rPr>
          <w:sz w:val="22"/>
        </w:rPr>
      </w:pPr>
      <w:r w:rsidRPr="00466D14">
        <w:rPr>
          <w:sz w:val="22"/>
        </w:rPr>
        <w:t>Enrolment and Orientation Policy</w:t>
      </w:r>
    </w:p>
    <w:p w:rsidR="006F32C4" w:rsidRPr="00466D14" w:rsidRDefault="006F32C4" w:rsidP="002E1836">
      <w:pPr>
        <w:numPr>
          <w:ilvl w:val="0"/>
          <w:numId w:val="2"/>
        </w:numPr>
        <w:jc w:val="left"/>
        <w:rPr>
          <w:sz w:val="22"/>
        </w:rPr>
      </w:pPr>
      <w:r w:rsidRPr="00466D14">
        <w:rPr>
          <w:sz w:val="22"/>
        </w:rPr>
        <w:t>Immunisation for Children and Staff Policy</w:t>
      </w:r>
    </w:p>
    <w:p w:rsidR="006F32C4" w:rsidRPr="00466D14" w:rsidRDefault="006F32C4" w:rsidP="002E1836">
      <w:pPr>
        <w:numPr>
          <w:ilvl w:val="0"/>
          <w:numId w:val="2"/>
        </w:numPr>
        <w:jc w:val="left"/>
        <w:rPr>
          <w:sz w:val="22"/>
        </w:rPr>
      </w:pPr>
      <w:r w:rsidRPr="00466D14">
        <w:rPr>
          <w:sz w:val="22"/>
        </w:rPr>
        <w:t>Incident, Injury, Trauma and Illness Policy</w:t>
      </w:r>
    </w:p>
    <w:p w:rsidR="006F32C4" w:rsidRPr="00466D14" w:rsidRDefault="006F32C4" w:rsidP="006F32C4">
      <w:pPr>
        <w:ind w:left="360"/>
        <w:rPr>
          <w:sz w:val="22"/>
        </w:rPr>
      </w:pPr>
    </w:p>
    <w:p w:rsidR="006F32C4" w:rsidRPr="0083267D" w:rsidRDefault="006F32C4" w:rsidP="006F32C4">
      <w:pPr>
        <w:pBdr>
          <w:bottom w:val="single" w:sz="4" w:space="1" w:color="auto"/>
        </w:pBdr>
        <w:jc w:val="both"/>
        <w:rPr>
          <w:b/>
          <w:sz w:val="22"/>
        </w:rPr>
      </w:pPr>
      <w:r w:rsidRPr="0083267D">
        <w:rPr>
          <w:b/>
          <w:sz w:val="22"/>
        </w:rPr>
        <w:t xml:space="preserve">Links Education and Care </w:t>
      </w:r>
      <w:r w:rsidR="008A3D5E">
        <w:rPr>
          <w:b/>
          <w:sz w:val="22"/>
        </w:rPr>
        <w:t>Services</w:t>
      </w:r>
      <w:r w:rsidRPr="0083267D">
        <w:rPr>
          <w:b/>
          <w:sz w:val="22"/>
        </w:rPr>
        <w:t xml:space="preserve"> National Regulations</w:t>
      </w:r>
      <w:r>
        <w:rPr>
          <w:b/>
          <w:sz w:val="22"/>
        </w:rPr>
        <w:t xml:space="preserve"> 2011, </w:t>
      </w:r>
      <w:r w:rsidRPr="0083267D">
        <w:rPr>
          <w:b/>
          <w:sz w:val="22"/>
        </w:rPr>
        <w:t>National Quality Standard</w:t>
      </w:r>
      <w:r>
        <w:rPr>
          <w:b/>
          <w:sz w:val="22"/>
        </w:rPr>
        <w:t xml:space="preserve"> 2011</w:t>
      </w:r>
    </w:p>
    <w:p w:rsidR="006F32C4" w:rsidRPr="005964EA" w:rsidRDefault="006F32C4" w:rsidP="006F32C4">
      <w:pPr>
        <w:pStyle w:val="NoSpacing"/>
        <w:jc w:val="both"/>
        <w:rPr>
          <w:rFonts w:cs="Arial"/>
          <w:bCs/>
          <w:lang w:val="en-A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73"/>
        <w:gridCol w:w="822"/>
        <w:gridCol w:w="7361"/>
      </w:tblGrid>
      <w:tr w:rsidR="006F32C4" w:rsidRPr="00B56A17" w:rsidTr="005E18A5">
        <w:tc>
          <w:tcPr>
            <w:tcW w:w="673" w:type="dxa"/>
          </w:tcPr>
          <w:p w:rsidR="006F32C4" w:rsidRPr="00B56A17" w:rsidRDefault="006F32C4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Regs</w:t>
            </w:r>
          </w:p>
        </w:tc>
        <w:tc>
          <w:tcPr>
            <w:tcW w:w="822" w:type="dxa"/>
          </w:tcPr>
          <w:p w:rsidR="006F32C4" w:rsidRDefault="006F32C4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77</w:t>
            </w:r>
          </w:p>
        </w:tc>
        <w:tc>
          <w:tcPr>
            <w:tcW w:w="7361" w:type="dxa"/>
          </w:tcPr>
          <w:p w:rsidR="006F32C4" w:rsidRDefault="006F32C4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>
              <w:rPr>
                <w:rStyle w:val="A15"/>
                <w:rFonts w:ascii="Calibri" w:hAnsi="Calibri" w:cs="Calibri"/>
                <w:sz w:val="18"/>
                <w:szCs w:val="18"/>
              </w:rPr>
              <w:t>Health, hygiene and safe food practices</w:t>
            </w:r>
          </w:p>
        </w:tc>
      </w:tr>
      <w:tr w:rsidR="006F32C4" w:rsidRPr="00B56A17" w:rsidTr="005E18A5">
        <w:tc>
          <w:tcPr>
            <w:tcW w:w="673" w:type="dxa"/>
          </w:tcPr>
          <w:p w:rsidR="006F32C4" w:rsidRPr="00B56A17" w:rsidRDefault="006F32C4" w:rsidP="005E18A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6F32C4" w:rsidRPr="00B56A17" w:rsidRDefault="006F32C4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85</w:t>
            </w:r>
          </w:p>
        </w:tc>
        <w:tc>
          <w:tcPr>
            <w:tcW w:w="7361" w:type="dxa"/>
          </w:tcPr>
          <w:p w:rsidR="006F32C4" w:rsidRPr="00B56A17" w:rsidRDefault="006F32C4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>
              <w:rPr>
                <w:rStyle w:val="A15"/>
                <w:rFonts w:ascii="Calibri" w:hAnsi="Calibri" w:cs="Calibri"/>
                <w:sz w:val="18"/>
                <w:szCs w:val="18"/>
              </w:rPr>
              <w:t>Incident, injury, trauma and illness policies and procedures</w:t>
            </w:r>
          </w:p>
        </w:tc>
      </w:tr>
      <w:tr w:rsidR="006F32C4" w:rsidRPr="00B56A17" w:rsidTr="005E18A5">
        <w:tc>
          <w:tcPr>
            <w:tcW w:w="673" w:type="dxa"/>
          </w:tcPr>
          <w:p w:rsidR="006F32C4" w:rsidRPr="00B56A17" w:rsidRDefault="006F32C4" w:rsidP="005E18A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6F32C4" w:rsidRDefault="006F32C4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86</w:t>
            </w:r>
          </w:p>
        </w:tc>
        <w:tc>
          <w:tcPr>
            <w:tcW w:w="7361" w:type="dxa"/>
          </w:tcPr>
          <w:p w:rsidR="006F32C4" w:rsidRDefault="006F32C4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>
              <w:rPr>
                <w:rStyle w:val="A15"/>
                <w:rFonts w:ascii="Calibri" w:hAnsi="Calibri" w:cs="Calibri"/>
                <w:sz w:val="18"/>
                <w:szCs w:val="18"/>
              </w:rPr>
              <w:t>Notification to parents of incident, injury, trauma and illness</w:t>
            </w:r>
          </w:p>
        </w:tc>
      </w:tr>
      <w:tr w:rsidR="006F32C4" w:rsidRPr="00B56A17" w:rsidTr="005E18A5">
        <w:tc>
          <w:tcPr>
            <w:tcW w:w="673" w:type="dxa"/>
          </w:tcPr>
          <w:p w:rsidR="006F32C4" w:rsidRPr="00B56A17" w:rsidRDefault="006F32C4" w:rsidP="005E18A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6F32C4" w:rsidRDefault="006F32C4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87</w:t>
            </w:r>
          </w:p>
        </w:tc>
        <w:tc>
          <w:tcPr>
            <w:tcW w:w="7361" w:type="dxa"/>
          </w:tcPr>
          <w:p w:rsidR="006F32C4" w:rsidRDefault="006F32C4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>
              <w:rPr>
                <w:rStyle w:val="A15"/>
                <w:rFonts w:ascii="Calibri" w:hAnsi="Calibri" w:cs="Calibri"/>
                <w:sz w:val="18"/>
                <w:szCs w:val="18"/>
              </w:rPr>
              <w:t>Incident, injury, trauma and illness record</w:t>
            </w:r>
          </w:p>
        </w:tc>
      </w:tr>
      <w:tr w:rsidR="006F32C4" w:rsidRPr="00B56A17" w:rsidTr="005E18A5">
        <w:tc>
          <w:tcPr>
            <w:tcW w:w="673" w:type="dxa"/>
          </w:tcPr>
          <w:p w:rsidR="006F32C4" w:rsidRPr="00B56A17" w:rsidRDefault="006F32C4" w:rsidP="005E18A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6F32C4" w:rsidRPr="00B56A17" w:rsidRDefault="006F32C4" w:rsidP="005E18A5">
            <w:pPr>
              <w:rPr>
                <w:rFonts w:cs="Calibri"/>
                <w:sz w:val="18"/>
                <w:szCs w:val="18"/>
              </w:rPr>
            </w:pPr>
            <w:r w:rsidRPr="00B56A17">
              <w:rPr>
                <w:rFonts w:cs="Calibri"/>
                <w:sz w:val="18"/>
                <w:szCs w:val="18"/>
              </w:rPr>
              <w:t xml:space="preserve">88 </w:t>
            </w:r>
          </w:p>
        </w:tc>
        <w:tc>
          <w:tcPr>
            <w:tcW w:w="7361" w:type="dxa"/>
          </w:tcPr>
          <w:p w:rsidR="006F32C4" w:rsidRPr="00B56A17" w:rsidRDefault="006F32C4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 w:rsidRPr="00B56A17">
              <w:rPr>
                <w:rStyle w:val="A15"/>
                <w:rFonts w:ascii="Calibri" w:hAnsi="Calibri" w:cs="Calibri"/>
                <w:sz w:val="18"/>
                <w:szCs w:val="18"/>
              </w:rPr>
              <w:t>Infectious diseases</w:t>
            </w:r>
          </w:p>
        </w:tc>
      </w:tr>
      <w:tr w:rsidR="006F32C4" w:rsidRPr="00B56A17" w:rsidTr="005E18A5">
        <w:tc>
          <w:tcPr>
            <w:tcW w:w="673" w:type="dxa"/>
          </w:tcPr>
          <w:p w:rsidR="006F32C4" w:rsidRPr="00B56A17" w:rsidRDefault="006F32C4" w:rsidP="005E18A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6F32C4" w:rsidRPr="00B56A17" w:rsidRDefault="006F32C4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</w:t>
            </w:r>
          </w:p>
        </w:tc>
        <w:tc>
          <w:tcPr>
            <w:tcW w:w="7361" w:type="dxa"/>
          </w:tcPr>
          <w:p w:rsidR="006F32C4" w:rsidRPr="00B56A17" w:rsidRDefault="006F32C4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>
              <w:rPr>
                <w:rStyle w:val="A15"/>
                <w:rFonts w:ascii="Calibri" w:hAnsi="Calibri" w:cs="Calibri"/>
                <w:sz w:val="18"/>
                <w:szCs w:val="18"/>
              </w:rPr>
              <w:t>Medical conditions policy</w:t>
            </w:r>
          </w:p>
        </w:tc>
      </w:tr>
      <w:tr w:rsidR="006F32C4" w:rsidRPr="00B56A17" w:rsidTr="005E18A5">
        <w:tc>
          <w:tcPr>
            <w:tcW w:w="673" w:type="dxa"/>
          </w:tcPr>
          <w:p w:rsidR="006F32C4" w:rsidRPr="00B56A17" w:rsidRDefault="006F32C4" w:rsidP="005E18A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6F32C4" w:rsidRDefault="006F32C4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162</w:t>
            </w:r>
          </w:p>
        </w:tc>
        <w:tc>
          <w:tcPr>
            <w:tcW w:w="7361" w:type="dxa"/>
          </w:tcPr>
          <w:p w:rsidR="006F32C4" w:rsidRDefault="006F32C4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>
              <w:rPr>
                <w:rStyle w:val="A15"/>
                <w:rFonts w:ascii="Calibri" w:hAnsi="Calibri" w:cs="Calibri"/>
                <w:sz w:val="18"/>
                <w:szCs w:val="18"/>
              </w:rPr>
              <w:t>Health information to be kept in enrolment record</w:t>
            </w:r>
          </w:p>
        </w:tc>
      </w:tr>
    </w:tbl>
    <w:p w:rsidR="006F32C4" w:rsidRPr="004F3C99" w:rsidRDefault="006F32C4" w:rsidP="006F32C4">
      <w:pPr>
        <w:pStyle w:val="NoSpacing"/>
        <w:jc w:val="both"/>
        <w:rPr>
          <w:rFonts w:cs="Arial"/>
          <w:bCs/>
          <w:lang w:val="en-A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67"/>
        <w:gridCol w:w="822"/>
        <w:gridCol w:w="7367"/>
      </w:tblGrid>
      <w:tr w:rsidR="006F32C4" w:rsidRPr="00B56A17" w:rsidTr="005E18A5">
        <w:tc>
          <w:tcPr>
            <w:tcW w:w="667" w:type="dxa"/>
          </w:tcPr>
          <w:p w:rsidR="006F32C4" w:rsidRPr="00B56A17" w:rsidRDefault="006F32C4" w:rsidP="005E18A5">
            <w:pPr>
              <w:rPr>
                <w:rFonts w:cs="Calibri"/>
                <w:sz w:val="18"/>
                <w:szCs w:val="18"/>
              </w:rPr>
            </w:pPr>
            <w:r w:rsidRPr="00B56A17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B56A17">
              <w:rPr>
                <w:rFonts w:cs="Calibri"/>
                <w:sz w:val="18"/>
                <w:szCs w:val="18"/>
              </w:rPr>
              <w:t>QA</w:t>
            </w:r>
          </w:p>
        </w:tc>
        <w:tc>
          <w:tcPr>
            <w:tcW w:w="822" w:type="dxa"/>
          </w:tcPr>
          <w:p w:rsidR="006F32C4" w:rsidRPr="00B56A17" w:rsidRDefault="006F32C4" w:rsidP="005E18A5">
            <w:pPr>
              <w:rPr>
                <w:rFonts w:cs="Calibri"/>
                <w:sz w:val="18"/>
                <w:szCs w:val="18"/>
              </w:rPr>
            </w:pPr>
            <w:r w:rsidRPr="00B56A17">
              <w:rPr>
                <w:rFonts w:cs="Calibri"/>
                <w:sz w:val="18"/>
                <w:szCs w:val="18"/>
              </w:rPr>
              <w:t>2.1</w:t>
            </w:r>
            <w:r w:rsidR="00F11AB5">
              <w:rPr>
                <w:rFonts w:cs="Calibri"/>
                <w:sz w:val="18"/>
                <w:szCs w:val="18"/>
              </w:rPr>
              <w:t>.1</w:t>
            </w:r>
          </w:p>
        </w:tc>
        <w:tc>
          <w:tcPr>
            <w:tcW w:w="7367" w:type="dxa"/>
          </w:tcPr>
          <w:p w:rsidR="006F32C4" w:rsidRPr="00B56A17" w:rsidRDefault="00F11AB5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 w:rsidRPr="00F11AB5">
              <w:rPr>
                <w:rStyle w:val="A15"/>
                <w:rFonts w:ascii="Calibri" w:hAnsi="Calibri" w:cs="Calibri"/>
                <w:sz w:val="18"/>
                <w:szCs w:val="18"/>
              </w:rPr>
              <w:t>Each child’s wellbeing and comfort is provided for, including appropriate opportunities to meet each child’s need for sleep, rest and relaxation</w:t>
            </w:r>
          </w:p>
        </w:tc>
      </w:tr>
      <w:tr w:rsidR="006F32C4" w:rsidRPr="00B56A17" w:rsidTr="005E18A5">
        <w:tc>
          <w:tcPr>
            <w:tcW w:w="667" w:type="dxa"/>
          </w:tcPr>
          <w:p w:rsidR="006F32C4" w:rsidRPr="00B56A17" w:rsidRDefault="006F32C4" w:rsidP="005E18A5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6F32C4" w:rsidRPr="00B56A17" w:rsidRDefault="006F32C4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2.1.</w:t>
            </w:r>
            <w:r w:rsidR="00F11AB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7367" w:type="dxa"/>
          </w:tcPr>
          <w:p w:rsidR="006F32C4" w:rsidRPr="00B56A17" w:rsidRDefault="00F11AB5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 w:rsidRPr="00F11AB5">
              <w:rPr>
                <w:rStyle w:val="A15"/>
                <w:rFonts w:ascii="Calibri" w:hAnsi="Calibri" w:cs="Calibri"/>
                <w:sz w:val="18"/>
                <w:szCs w:val="18"/>
              </w:rPr>
              <w:t>Effective illness and injury management and hygiene practices are promoted and implemented</w:t>
            </w:r>
          </w:p>
        </w:tc>
      </w:tr>
    </w:tbl>
    <w:p w:rsidR="006F32C4" w:rsidRDefault="006F32C4" w:rsidP="006F32C4">
      <w:pPr>
        <w:pBdr>
          <w:bottom w:val="single" w:sz="4" w:space="1" w:color="auto"/>
        </w:pBdr>
        <w:rPr>
          <w:b/>
          <w:sz w:val="22"/>
        </w:rPr>
      </w:pPr>
    </w:p>
    <w:p w:rsidR="006F32C4" w:rsidRPr="00466D14" w:rsidRDefault="006F32C4" w:rsidP="008A3D5E">
      <w:pPr>
        <w:pBdr>
          <w:bottom w:val="single" w:sz="4" w:space="1" w:color="auto"/>
        </w:pBdr>
        <w:jc w:val="left"/>
        <w:rPr>
          <w:b/>
          <w:sz w:val="22"/>
        </w:rPr>
      </w:pPr>
      <w:r w:rsidRPr="00466D14">
        <w:rPr>
          <w:b/>
          <w:sz w:val="22"/>
        </w:rPr>
        <w:t>Sources</w:t>
      </w:r>
      <w:r w:rsidR="00F07F3A">
        <w:rPr>
          <w:b/>
          <w:sz w:val="22"/>
        </w:rPr>
        <w:t xml:space="preserve"> </w:t>
      </w:r>
    </w:p>
    <w:p w:rsidR="006F32C4" w:rsidRPr="00466D14" w:rsidRDefault="006F32C4" w:rsidP="006F32C4">
      <w:pPr>
        <w:rPr>
          <w:b/>
          <w:sz w:val="22"/>
        </w:rPr>
      </w:pPr>
    </w:p>
    <w:p w:rsidR="00EE0ED3" w:rsidRPr="00D964FB" w:rsidRDefault="00EE0ED3" w:rsidP="00EE0ED3">
      <w:pPr>
        <w:numPr>
          <w:ilvl w:val="0"/>
          <w:numId w:val="9"/>
        </w:numPr>
        <w:jc w:val="both"/>
        <w:rPr>
          <w:sz w:val="22"/>
        </w:rPr>
      </w:pPr>
      <w:r w:rsidRPr="00D964FB">
        <w:rPr>
          <w:sz w:val="22"/>
        </w:rPr>
        <w:t>Education and Care Serv</w:t>
      </w:r>
      <w:r w:rsidR="002B4875">
        <w:rPr>
          <w:sz w:val="22"/>
        </w:rPr>
        <w:t>ices National Regulations 2011</w:t>
      </w:r>
    </w:p>
    <w:p w:rsidR="00EE0ED3" w:rsidRPr="00D964FB" w:rsidRDefault="00EE0ED3" w:rsidP="00EE0ED3">
      <w:pPr>
        <w:numPr>
          <w:ilvl w:val="0"/>
          <w:numId w:val="9"/>
        </w:numPr>
        <w:jc w:val="both"/>
        <w:rPr>
          <w:sz w:val="22"/>
        </w:rPr>
      </w:pPr>
      <w:r w:rsidRPr="00D964FB">
        <w:rPr>
          <w:sz w:val="22"/>
        </w:rPr>
        <w:t xml:space="preserve">Guide to the </w:t>
      </w:r>
      <w:r w:rsidR="002B4875">
        <w:rPr>
          <w:sz w:val="22"/>
        </w:rPr>
        <w:t>National Quality Standard 2011</w:t>
      </w:r>
    </w:p>
    <w:p w:rsidR="00164E62" w:rsidRPr="002B4875" w:rsidRDefault="00164E62" w:rsidP="00465209">
      <w:pPr>
        <w:numPr>
          <w:ilvl w:val="0"/>
          <w:numId w:val="9"/>
        </w:numPr>
        <w:jc w:val="both"/>
        <w:rPr>
          <w:sz w:val="22"/>
        </w:rPr>
      </w:pPr>
      <w:r w:rsidRPr="002B4875">
        <w:rPr>
          <w:sz w:val="22"/>
        </w:rPr>
        <w:t xml:space="preserve">National Health and Medical Research Council. (2012). </w:t>
      </w:r>
      <w:r w:rsidRPr="002B4875">
        <w:rPr>
          <w:i/>
          <w:sz w:val="22"/>
        </w:rPr>
        <w:t>Staying Healthy: Preventing infectious diseases in early childhood education and care services. 5</w:t>
      </w:r>
      <w:r w:rsidRPr="002B4875">
        <w:rPr>
          <w:i/>
          <w:sz w:val="22"/>
          <w:vertAlign w:val="superscript"/>
        </w:rPr>
        <w:t>th</w:t>
      </w:r>
      <w:r w:rsidRPr="002B4875">
        <w:rPr>
          <w:i/>
          <w:sz w:val="22"/>
        </w:rPr>
        <w:t xml:space="preserve"> edition</w:t>
      </w:r>
      <w:r w:rsidRPr="002B4875">
        <w:rPr>
          <w:sz w:val="22"/>
        </w:rPr>
        <w:t xml:space="preserve">. </w:t>
      </w:r>
      <w:hyperlink r:id="rId8" w:history="1">
        <w:r w:rsidR="00465209" w:rsidRPr="00001481">
          <w:rPr>
            <w:rStyle w:val="Hyperlink"/>
            <w:sz w:val="22"/>
          </w:rPr>
          <w:t>https://www.nhmrc.gov.au/_files_nhmrc/publications/attachments/ch55_staying_healthy_childcare_5th_edition_0.pdf</w:t>
        </w:r>
      </w:hyperlink>
      <w:r w:rsidR="00465209">
        <w:rPr>
          <w:sz w:val="22"/>
        </w:rPr>
        <w:t xml:space="preserve"> accessed 24 December 2017</w:t>
      </w:r>
    </w:p>
    <w:p w:rsidR="002B4875" w:rsidRPr="002B4875" w:rsidRDefault="002B4875" w:rsidP="002B4875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cs="TTE19B9188t00"/>
          <w:sz w:val="22"/>
        </w:rPr>
      </w:pPr>
      <w:r w:rsidRPr="002B4875">
        <w:rPr>
          <w:sz w:val="22"/>
        </w:rPr>
        <w:t xml:space="preserve">National Health and Medical Research Council. (2013). </w:t>
      </w:r>
      <w:r w:rsidRPr="002B4875">
        <w:rPr>
          <w:i/>
          <w:sz w:val="22"/>
        </w:rPr>
        <w:t>Recommended minimum exclusion periods.</w:t>
      </w:r>
      <w:r w:rsidRPr="002B4875">
        <w:rPr>
          <w:rFonts w:cs="TTE19B9188t00"/>
          <w:sz w:val="22"/>
        </w:rPr>
        <w:t xml:space="preserve"> </w:t>
      </w:r>
      <w:hyperlink r:id="rId9" w:history="1">
        <w:r w:rsidRPr="002B4875">
          <w:rPr>
            <w:rStyle w:val="Hyperlink"/>
            <w:rFonts w:cs="TTE19B9188t00"/>
            <w:color w:val="auto"/>
            <w:sz w:val="22"/>
          </w:rPr>
          <w:t>https://www.nhmrc.gov.au/_files_nhmrc/publications/attachments/ch55e_exclusion_period_poster_130701.pdf</w:t>
        </w:r>
      </w:hyperlink>
      <w:r w:rsidRPr="002B4875">
        <w:rPr>
          <w:rFonts w:cs="TTE19B9188t00"/>
          <w:sz w:val="22"/>
        </w:rPr>
        <w:t xml:space="preserve"> accessed </w:t>
      </w:r>
      <w:r w:rsidR="00465209">
        <w:rPr>
          <w:rFonts w:cs="TTE19B9188t00"/>
          <w:sz w:val="22"/>
        </w:rPr>
        <w:t xml:space="preserve">24 December </w:t>
      </w:r>
      <w:r w:rsidRPr="002B4875">
        <w:rPr>
          <w:rFonts w:cs="TTE19B9188t00"/>
          <w:sz w:val="22"/>
        </w:rPr>
        <w:t>2017</w:t>
      </w:r>
    </w:p>
    <w:p w:rsidR="006F32C4" w:rsidRPr="00D964FB" w:rsidRDefault="006F32C4" w:rsidP="006F32C4">
      <w:pPr>
        <w:ind w:left="360"/>
        <w:rPr>
          <w:sz w:val="22"/>
        </w:rPr>
      </w:pPr>
    </w:p>
    <w:p w:rsidR="00F07F3A" w:rsidRPr="00466D14" w:rsidRDefault="00F07F3A" w:rsidP="00F07F3A">
      <w:pPr>
        <w:pBdr>
          <w:bottom w:val="single" w:sz="4" w:space="1" w:color="auto"/>
        </w:pBdr>
        <w:jc w:val="left"/>
        <w:rPr>
          <w:b/>
          <w:sz w:val="22"/>
        </w:rPr>
      </w:pPr>
      <w:r>
        <w:rPr>
          <w:b/>
          <w:sz w:val="22"/>
        </w:rPr>
        <w:t xml:space="preserve">Further </w:t>
      </w:r>
      <w:r w:rsidRPr="00466D14">
        <w:rPr>
          <w:b/>
          <w:sz w:val="22"/>
        </w:rPr>
        <w:t>reading and useful websites</w:t>
      </w:r>
    </w:p>
    <w:p w:rsidR="006F32C4" w:rsidRPr="00D964FB" w:rsidRDefault="006F32C4" w:rsidP="006F32C4">
      <w:pPr>
        <w:autoSpaceDE w:val="0"/>
        <w:autoSpaceDN w:val="0"/>
        <w:adjustRightInd w:val="0"/>
        <w:jc w:val="both"/>
        <w:rPr>
          <w:rFonts w:cs="CenturyGothic,Bold"/>
          <w:b/>
          <w:bCs/>
          <w:sz w:val="22"/>
        </w:rPr>
      </w:pPr>
    </w:p>
    <w:p w:rsidR="000A2522" w:rsidRPr="00D964FB" w:rsidRDefault="009576AA" w:rsidP="000A2522">
      <w:pPr>
        <w:numPr>
          <w:ilvl w:val="0"/>
          <w:numId w:val="5"/>
        </w:numPr>
        <w:jc w:val="left"/>
        <w:rPr>
          <w:sz w:val="22"/>
          <w:u w:val="single"/>
        </w:rPr>
      </w:pPr>
      <w:r>
        <w:rPr>
          <w:sz w:val="22"/>
        </w:rPr>
        <w:t xml:space="preserve">Department of Health (Australian Government). </w:t>
      </w:r>
      <w:r w:rsidR="000A2522" w:rsidRPr="009576AA">
        <w:rPr>
          <w:i/>
          <w:sz w:val="22"/>
        </w:rPr>
        <w:t>Immunise Australia Program</w:t>
      </w:r>
      <w:r>
        <w:rPr>
          <w:sz w:val="22"/>
        </w:rPr>
        <w:t xml:space="preserve">. </w:t>
      </w:r>
      <w:r w:rsidR="000A2522" w:rsidRPr="00D964FB">
        <w:rPr>
          <w:sz w:val="22"/>
        </w:rPr>
        <w:t xml:space="preserve"> </w:t>
      </w:r>
      <w:hyperlink r:id="rId10" w:history="1">
        <w:r w:rsidR="000A2522" w:rsidRPr="00D964FB">
          <w:rPr>
            <w:rStyle w:val="Hyperlink"/>
            <w:color w:val="auto"/>
            <w:sz w:val="22"/>
          </w:rPr>
          <w:t>http://www.immunise.health.gov.au/</w:t>
        </w:r>
      </w:hyperlink>
      <w:r>
        <w:rPr>
          <w:sz w:val="22"/>
        </w:rPr>
        <w:t xml:space="preserve"> accessed </w:t>
      </w:r>
      <w:r w:rsidR="00465209">
        <w:rPr>
          <w:sz w:val="22"/>
        </w:rPr>
        <w:t xml:space="preserve">24 December </w:t>
      </w:r>
      <w:r>
        <w:rPr>
          <w:sz w:val="22"/>
        </w:rPr>
        <w:t>201</w:t>
      </w:r>
      <w:r w:rsidR="00465209">
        <w:rPr>
          <w:sz w:val="22"/>
        </w:rPr>
        <w:t>7</w:t>
      </w:r>
    </w:p>
    <w:p w:rsidR="000A2522" w:rsidRPr="00C2778A" w:rsidRDefault="000A2522" w:rsidP="000A2522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sz w:val="22"/>
        </w:rPr>
      </w:pPr>
      <w:r w:rsidRPr="00D964FB">
        <w:rPr>
          <w:rFonts w:cs="CenturyGothic,Bold"/>
          <w:bCs/>
          <w:sz w:val="22"/>
        </w:rPr>
        <w:t xml:space="preserve">National Health and Medical Research Council – </w:t>
      </w:r>
      <w:hyperlink r:id="rId11" w:history="1">
        <w:r w:rsidRPr="00D964FB">
          <w:rPr>
            <w:rStyle w:val="Hyperlink"/>
            <w:rFonts w:cs="CenturyGothic,Bold"/>
            <w:bCs/>
            <w:color w:val="auto"/>
            <w:sz w:val="22"/>
          </w:rPr>
          <w:t>http://www.nhmrc.gov.au/</w:t>
        </w:r>
      </w:hyperlink>
      <w:r w:rsidR="009576AA">
        <w:rPr>
          <w:rStyle w:val="Hyperlink"/>
          <w:rFonts w:cs="CenturyGothic,Bold"/>
          <w:bCs/>
          <w:color w:val="auto"/>
          <w:sz w:val="22"/>
        </w:rPr>
        <w:t xml:space="preserve"> </w:t>
      </w:r>
      <w:r w:rsidR="009576AA">
        <w:rPr>
          <w:rStyle w:val="Hyperlink"/>
          <w:rFonts w:cs="CenturyGothic,Bold"/>
          <w:bCs/>
          <w:color w:val="auto"/>
          <w:sz w:val="22"/>
          <w:u w:val="none"/>
        </w:rPr>
        <w:t>acc</w:t>
      </w:r>
      <w:r w:rsidR="0067695C">
        <w:rPr>
          <w:rStyle w:val="Hyperlink"/>
          <w:rFonts w:cs="CenturyGothic,Bold"/>
          <w:bCs/>
          <w:color w:val="auto"/>
          <w:sz w:val="22"/>
          <w:u w:val="none"/>
        </w:rPr>
        <w:t>essed</w:t>
      </w:r>
      <w:r w:rsidR="00465209">
        <w:rPr>
          <w:rStyle w:val="Hyperlink"/>
          <w:rFonts w:cs="CenturyGothic,Bold"/>
          <w:bCs/>
          <w:color w:val="auto"/>
          <w:sz w:val="22"/>
          <w:u w:val="none"/>
        </w:rPr>
        <w:t xml:space="preserve"> 24 December </w:t>
      </w:r>
      <w:r w:rsidR="0067695C" w:rsidRPr="00C2778A">
        <w:rPr>
          <w:rStyle w:val="Hyperlink"/>
          <w:rFonts w:cs="CenturyGothic,Bold"/>
          <w:bCs/>
          <w:color w:val="auto"/>
          <w:sz w:val="22"/>
          <w:u w:val="none"/>
        </w:rPr>
        <w:t>201</w:t>
      </w:r>
      <w:r w:rsidR="00465209">
        <w:rPr>
          <w:rStyle w:val="Hyperlink"/>
          <w:rFonts w:cs="CenturyGothic,Bold"/>
          <w:bCs/>
          <w:color w:val="auto"/>
          <w:sz w:val="22"/>
          <w:u w:val="none"/>
        </w:rPr>
        <w:t>7</w:t>
      </w:r>
    </w:p>
    <w:p w:rsidR="000A2522" w:rsidRPr="00C2778A" w:rsidRDefault="000A2522" w:rsidP="000A252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Style w:val="Hyperlink"/>
          <w:rFonts w:cs="CenturyGothic,Bold"/>
          <w:bCs/>
          <w:color w:val="auto"/>
          <w:sz w:val="22"/>
          <w:u w:val="none"/>
        </w:rPr>
      </w:pPr>
      <w:r w:rsidRPr="00C2778A">
        <w:rPr>
          <w:rFonts w:cs="Calibri"/>
          <w:sz w:val="22"/>
        </w:rPr>
        <w:t xml:space="preserve">Queensland Health –  </w:t>
      </w:r>
      <w:hyperlink r:id="rId12" w:history="1">
        <w:r w:rsidRPr="00C2778A">
          <w:rPr>
            <w:rStyle w:val="Hyperlink"/>
            <w:rFonts w:cs="Calibri"/>
            <w:color w:val="auto"/>
            <w:sz w:val="22"/>
          </w:rPr>
          <w:t>http://www.health.qld.gov.au/</w:t>
        </w:r>
      </w:hyperlink>
      <w:r w:rsidR="00111C0E" w:rsidRPr="00C2778A">
        <w:rPr>
          <w:rStyle w:val="Hyperlink"/>
          <w:rFonts w:cs="Calibri"/>
          <w:color w:val="auto"/>
          <w:sz w:val="22"/>
          <w:u w:val="none"/>
        </w:rPr>
        <w:t xml:space="preserve"> accessed </w:t>
      </w:r>
      <w:r w:rsidR="00465209">
        <w:rPr>
          <w:rStyle w:val="Hyperlink"/>
          <w:rFonts w:cs="Calibri"/>
          <w:color w:val="auto"/>
          <w:sz w:val="22"/>
          <w:u w:val="none"/>
        </w:rPr>
        <w:t xml:space="preserve">24 December </w:t>
      </w:r>
      <w:r w:rsidR="00155F36" w:rsidRPr="00C2778A">
        <w:rPr>
          <w:rStyle w:val="Hyperlink"/>
          <w:rFonts w:cs="Calibri"/>
          <w:color w:val="auto"/>
          <w:sz w:val="22"/>
          <w:u w:val="none"/>
        </w:rPr>
        <w:t>2017</w:t>
      </w:r>
    </w:p>
    <w:p w:rsidR="00155F36" w:rsidRPr="00C2778A" w:rsidRDefault="00155F36" w:rsidP="00155F36">
      <w:pPr>
        <w:numPr>
          <w:ilvl w:val="0"/>
          <w:numId w:val="12"/>
        </w:numPr>
        <w:autoSpaceDE w:val="0"/>
        <w:autoSpaceDN w:val="0"/>
        <w:adjustRightInd w:val="0"/>
        <w:jc w:val="left"/>
        <w:rPr>
          <w:rFonts w:cs="TTE19B9188t00"/>
          <w:sz w:val="22"/>
        </w:rPr>
      </w:pPr>
      <w:r w:rsidRPr="00C2778A">
        <w:rPr>
          <w:rFonts w:cs="TTE19B9188t00"/>
          <w:sz w:val="22"/>
        </w:rPr>
        <w:t xml:space="preserve">Queensland Health. (2014). </w:t>
      </w:r>
      <w:r w:rsidRPr="00C2778A">
        <w:rPr>
          <w:rFonts w:cs="TTE19B9188t00"/>
          <w:i/>
          <w:sz w:val="22"/>
        </w:rPr>
        <w:t>Time Out Poster</w:t>
      </w:r>
      <w:r w:rsidRPr="00C2778A">
        <w:rPr>
          <w:rFonts w:cs="TTE19B9188t00"/>
          <w:sz w:val="22"/>
        </w:rPr>
        <w:t xml:space="preserve">. </w:t>
      </w:r>
      <w:hyperlink r:id="rId13" w:history="1">
        <w:r w:rsidRPr="00C2778A">
          <w:rPr>
            <w:rStyle w:val="Hyperlink"/>
            <w:rFonts w:cs="TTE19B9188t00"/>
            <w:sz w:val="22"/>
          </w:rPr>
          <w:t>https://www.health.qld.gov.au/ph/documents/cdb/timeout_poster.pdf</w:t>
        </w:r>
      </w:hyperlink>
      <w:r w:rsidRPr="00C2778A">
        <w:rPr>
          <w:rFonts w:cs="TTE19B9188t00"/>
          <w:sz w:val="22"/>
        </w:rPr>
        <w:t xml:space="preserve"> accessed </w:t>
      </w:r>
      <w:r w:rsidR="00465209">
        <w:rPr>
          <w:rFonts w:cs="TTE19B9188t00"/>
          <w:sz w:val="22"/>
        </w:rPr>
        <w:t xml:space="preserve">24 December </w:t>
      </w:r>
      <w:r w:rsidRPr="00C2778A">
        <w:rPr>
          <w:rFonts w:cs="TTE19B9188t00"/>
          <w:sz w:val="22"/>
        </w:rPr>
        <w:t xml:space="preserve">2017 </w:t>
      </w:r>
    </w:p>
    <w:p w:rsidR="009576AA" w:rsidRPr="00C2778A" w:rsidRDefault="009576AA" w:rsidP="009576AA">
      <w:pPr>
        <w:numPr>
          <w:ilvl w:val="0"/>
          <w:numId w:val="12"/>
        </w:numPr>
        <w:jc w:val="left"/>
        <w:rPr>
          <w:sz w:val="22"/>
        </w:rPr>
      </w:pPr>
      <w:r w:rsidRPr="00C2778A">
        <w:rPr>
          <w:rFonts w:cs="Calibri"/>
          <w:sz w:val="22"/>
        </w:rPr>
        <w:lastRenderedPageBreak/>
        <w:t xml:space="preserve">Royal Children’s Hospital Melbourne – </w:t>
      </w:r>
      <w:bookmarkStart w:id="3" w:name="OLE_LINK1"/>
      <w:r w:rsidRPr="00C2778A">
        <w:rPr>
          <w:rFonts w:cs="Calibri"/>
          <w:sz w:val="22"/>
        </w:rPr>
        <w:fldChar w:fldCharType="begin"/>
      </w:r>
      <w:r w:rsidRPr="00C2778A">
        <w:rPr>
          <w:rFonts w:cs="Calibri"/>
          <w:sz w:val="22"/>
        </w:rPr>
        <w:instrText xml:space="preserve"> HYPERLINK "http://www.rch.org.au/home/" </w:instrText>
      </w:r>
      <w:r w:rsidRPr="00C2778A">
        <w:rPr>
          <w:rFonts w:cs="Calibri"/>
          <w:sz w:val="22"/>
        </w:rPr>
        <w:fldChar w:fldCharType="separate"/>
      </w:r>
      <w:r w:rsidRPr="00C2778A">
        <w:rPr>
          <w:rStyle w:val="Hyperlink"/>
          <w:rFonts w:cs="Calibri"/>
          <w:color w:val="auto"/>
          <w:sz w:val="22"/>
        </w:rPr>
        <w:t>http://www.rch.org.au/home/</w:t>
      </w:r>
      <w:r w:rsidRPr="00C2778A">
        <w:rPr>
          <w:rFonts w:cs="Calibri"/>
          <w:sz w:val="22"/>
        </w:rPr>
        <w:fldChar w:fldCharType="end"/>
      </w:r>
      <w:r w:rsidRPr="00C2778A">
        <w:rPr>
          <w:rFonts w:cs="Calibri"/>
          <w:sz w:val="22"/>
        </w:rPr>
        <w:t xml:space="preserve"> accessed </w:t>
      </w:r>
      <w:r w:rsidR="00465209">
        <w:rPr>
          <w:rFonts w:cs="Calibri"/>
          <w:sz w:val="22"/>
        </w:rPr>
        <w:t xml:space="preserve">24 December </w:t>
      </w:r>
      <w:r w:rsidR="00155F36" w:rsidRPr="00C2778A">
        <w:rPr>
          <w:rFonts w:cs="Calibri"/>
          <w:sz w:val="22"/>
        </w:rPr>
        <w:t>2017</w:t>
      </w:r>
    </w:p>
    <w:bookmarkEnd w:id="3"/>
    <w:p w:rsidR="006F32C4" w:rsidRPr="00D964FB" w:rsidRDefault="006F32C4" w:rsidP="006F32C4">
      <w:pPr>
        <w:autoSpaceDE w:val="0"/>
        <w:autoSpaceDN w:val="0"/>
        <w:adjustRightInd w:val="0"/>
        <w:jc w:val="both"/>
        <w:rPr>
          <w:rFonts w:cs="CenturyGothic,Bold"/>
          <w:b/>
          <w:bCs/>
          <w:sz w:val="22"/>
        </w:rPr>
      </w:pPr>
    </w:p>
    <w:p w:rsidR="006F32C4" w:rsidRPr="00466D14" w:rsidRDefault="006F32C4" w:rsidP="008A3D5E">
      <w:pPr>
        <w:pBdr>
          <w:bottom w:val="single" w:sz="4" w:space="1" w:color="auto"/>
        </w:pBdr>
        <w:jc w:val="left"/>
        <w:rPr>
          <w:b/>
          <w:sz w:val="22"/>
        </w:rPr>
      </w:pPr>
      <w:r w:rsidRPr="00466D14">
        <w:rPr>
          <w:b/>
          <w:sz w:val="22"/>
        </w:rPr>
        <w:t>Policy review</w:t>
      </w:r>
    </w:p>
    <w:p w:rsidR="006F32C4" w:rsidRPr="00466D14" w:rsidRDefault="006F32C4" w:rsidP="006F32C4">
      <w:pPr>
        <w:rPr>
          <w:sz w:val="22"/>
        </w:rPr>
      </w:pPr>
    </w:p>
    <w:p w:rsidR="006F32C4" w:rsidRPr="00466D14" w:rsidRDefault="006F32C4" w:rsidP="006F32C4">
      <w:pPr>
        <w:jc w:val="both"/>
        <w:rPr>
          <w:sz w:val="22"/>
        </w:rPr>
      </w:pPr>
      <w:r w:rsidRPr="00466D14">
        <w:rPr>
          <w:sz w:val="22"/>
        </w:rPr>
        <w:t xml:space="preserve">The </w:t>
      </w:r>
      <w:r w:rsidR="00164E62">
        <w:rPr>
          <w:sz w:val="22"/>
        </w:rPr>
        <w:t>Service</w:t>
      </w:r>
      <w:r w:rsidRPr="00466D14">
        <w:rPr>
          <w:sz w:val="22"/>
        </w:rPr>
        <w:t xml:space="preserve"> encourages staff and parents to be actively involved in the annual review of each of its policies and procedures. In addition, the </w:t>
      </w:r>
      <w:r w:rsidR="00164E62">
        <w:rPr>
          <w:sz w:val="22"/>
        </w:rPr>
        <w:t>Service</w:t>
      </w:r>
      <w:r w:rsidRPr="00466D14">
        <w:rPr>
          <w:sz w:val="22"/>
        </w:rPr>
        <w:t xml:space="preserve"> will accommodate any new legislative changes as they occur and any issues identified as part the </w:t>
      </w:r>
      <w:r w:rsidR="00164E62">
        <w:rPr>
          <w:sz w:val="22"/>
        </w:rPr>
        <w:t>Service</w:t>
      </w:r>
      <w:r w:rsidRPr="00466D14">
        <w:rPr>
          <w:sz w:val="22"/>
        </w:rPr>
        <w:t xml:space="preserve">’s commitment to quality improvement. The </w:t>
      </w:r>
      <w:r w:rsidR="00164E62">
        <w:rPr>
          <w:sz w:val="22"/>
        </w:rPr>
        <w:t>Service</w:t>
      </w:r>
      <w:r w:rsidRPr="00466D14">
        <w:rPr>
          <w:sz w:val="22"/>
        </w:rPr>
        <w:t xml:space="preserve"> consults with relevant recognised authorities as part of the annual review to ensure the policy contents are consistent with current research and contemporary views on best practice. </w:t>
      </w:r>
    </w:p>
    <w:p w:rsidR="006F32C4" w:rsidRPr="00466D14" w:rsidRDefault="006F32C4" w:rsidP="006F32C4">
      <w:pPr>
        <w:rPr>
          <w:b/>
          <w:sz w:val="22"/>
        </w:rPr>
      </w:pPr>
    </w:p>
    <w:p w:rsidR="002B0810" w:rsidRDefault="002B0810" w:rsidP="002B0810">
      <w:pPr>
        <w:pBdr>
          <w:bottom w:val="single" w:sz="4" w:space="1" w:color="auto"/>
        </w:pBdr>
        <w:jc w:val="left"/>
        <w:rPr>
          <w:b/>
          <w:sz w:val="22"/>
        </w:rPr>
      </w:pPr>
      <w:r>
        <w:rPr>
          <w:b/>
          <w:sz w:val="22"/>
        </w:rPr>
        <w:t>Version Control</w:t>
      </w:r>
    </w:p>
    <w:p w:rsidR="002B0810" w:rsidRDefault="002B0810" w:rsidP="002B0810">
      <w:pPr>
        <w:jc w:val="lef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1658"/>
        <w:gridCol w:w="2228"/>
        <w:gridCol w:w="2756"/>
        <w:gridCol w:w="1775"/>
      </w:tblGrid>
      <w:tr w:rsidR="00072427" w:rsidTr="0007242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2427" w:rsidRDefault="00072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Version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2427" w:rsidRDefault="00072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Reviewed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2427" w:rsidRDefault="00072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Approved By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2427" w:rsidRDefault="00072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Comments/Amendments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2427" w:rsidRDefault="0007242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Next Review Date</w:t>
            </w:r>
          </w:p>
        </w:tc>
      </w:tr>
      <w:tr w:rsidR="00072427" w:rsidTr="0007242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Default="000724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Default="000724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January 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Default="000724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Brenda Abbey (Author)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27" w:rsidRDefault="000724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Updated to changed NQF requirements 1 February 2018. </w:t>
            </w:r>
          </w:p>
          <w:p w:rsidR="00072427" w:rsidRDefault="000724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Service to modify policies to its specific needs.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27" w:rsidRDefault="00072427">
            <w:pPr>
              <w:jc w:val="left"/>
              <w:rPr>
                <w:sz w:val="18"/>
                <w:szCs w:val="18"/>
              </w:rPr>
            </w:pPr>
          </w:p>
        </w:tc>
      </w:tr>
    </w:tbl>
    <w:p w:rsidR="006F32C4" w:rsidRPr="00466D14" w:rsidRDefault="006F32C4" w:rsidP="006E02DA">
      <w:pPr>
        <w:jc w:val="left"/>
        <w:rPr>
          <w:b/>
          <w:sz w:val="22"/>
        </w:rPr>
      </w:pPr>
    </w:p>
    <w:bookmarkEnd w:id="0"/>
    <w:p w:rsidR="006F32C4" w:rsidRPr="00466D14" w:rsidRDefault="006F32C4" w:rsidP="006F32C4">
      <w:pPr>
        <w:rPr>
          <w:sz w:val="22"/>
        </w:rPr>
      </w:pPr>
    </w:p>
    <w:p w:rsidR="006F32C4" w:rsidRPr="00466D14" w:rsidRDefault="006F32C4" w:rsidP="006F32C4">
      <w:pPr>
        <w:rPr>
          <w:sz w:val="22"/>
        </w:rPr>
      </w:pPr>
    </w:p>
    <w:p w:rsidR="005633F1" w:rsidRPr="006F32C4" w:rsidRDefault="00B545D7" w:rsidP="006F32C4">
      <w:r>
        <w:t>o</w:t>
      </w:r>
    </w:p>
    <w:sectPr w:rsidR="005633F1" w:rsidRPr="006F32C4" w:rsidSect="004068A2">
      <w:headerReference w:type="default" r:id="rId14"/>
      <w:footerReference w:type="default" r:id="rId15"/>
      <w:pgSz w:w="11906" w:h="16838"/>
      <w:pgMar w:top="1701" w:right="1274" w:bottom="1134" w:left="1276" w:header="113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5E" w:rsidRDefault="00344B5E" w:rsidP="00FC7AF1">
      <w:r>
        <w:separator/>
      </w:r>
    </w:p>
  </w:endnote>
  <w:endnote w:type="continuationSeparator" w:id="0">
    <w:p w:rsidR="00344B5E" w:rsidRDefault="00344B5E" w:rsidP="00FC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ta Plus Norm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AD4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TE19B9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F1" w:rsidRDefault="00C61326" w:rsidP="00A95F7F">
    <w:pPr>
      <w:pStyle w:val="Footer"/>
      <w:ind w:left="-1276" w:right="282"/>
      <w:jc w:val="left"/>
    </w:pPr>
    <w:r>
      <w:rPr>
        <w:noProof/>
        <w:lang w:val="en-US"/>
      </w:rPr>
      <w:ptab w:relativeTo="margin" w:alignment="left" w:leader="none"/>
    </w:r>
  </w:p>
  <w:tbl>
    <w:tblPr>
      <w:tblStyle w:val="TableGrid"/>
      <w:tblW w:w="11012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9"/>
      <w:gridCol w:w="3923"/>
    </w:tblGrid>
    <w:tr w:rsidR="00461846" w:rsidTr="002B6E45">
      <w:trPr>
        <w:trHeight w:val="583"/>
      </w:trPr>
      <w:tc>
        <w:tcPr>
          <w:tcW w:w="7089" w:type="dxa"/>
          <w:shd w:val="clear" w:color="auto" w:fill="808080" w:themeFill="background1" w:themeFillShade="80"/>
        </w:tcPr>
        <w:p w:rsidR="00F640F3" w:rsidRDefault="00461846" w:rsidP="002B6E45">
          <w:pPr>
            <w:pStyle w:val="Footer"/>
            <w:ind w:right="282"/>
            <w:jc w:val="left"/>
            <w:rPr>
              <w:noProof/>
              <w:color w:val="FFFFFF" w:themeColor="background1"/>
              <w:sz w:val="18"/>
              <w:szCs w:val="18"/>
              <w:lang w:val="en-US"/>
            </w:rPr>
          </w:pPr>
          <w:r>
            <w:rPr>
              <w:noProof/>
              <w:color w:val="FFFFFF" w:themeColor="background1"/>
              <w:sz w:val="18"/>
              <w:szCs w:val="18"/>
              <w:lang w:val="en-US"/>
            </w:rPr>
            <w:t>Copyright © Dr Brenda Abbey (Childcare by Design</w:t>
          </w:r>
          <w:r w:rsidR="00EE13DD">
            <w:rPr>
              <w:noProof/>
              <w:color w:val="FFFFFF" w:themeColor="background1"/>
              <w:sz w:val="18"/>
              <w:szCs w:val="18"/>
              <w:lang w:val="en-US"/>
            </w:rPr>
            <w:t xml:space="preserve"> Pty Ltd</w:t>
          </w:r>
          <w:r>
            <w:rPr>
              <w:noProof/>
              <w:color w:val="FFFFFF" w:themeColor="background1"/>
              <w:sz w:val="18"/>
              <w:szCs w:val="18"/>
              <w:lang w:val="en-US"/>
            </w:rPr>
            <w:t xml:space="preserve">) 2012. </w:t>
          </w:r>
          <w:r w:rsidR="006E02DA">
            <w:rPr>
              <w:noProof/>
              <w:color w:val="FFFFFF" w:themeColor="background1"/>
              <w:sz w:val="18"/>
              <w:szCs w:val="18"/>
              <w:lang w:val="en-US"/>
            </w:rPr>
            <w:t xml:space="preserve">Updated 2018. </w:t>
          </w:r>
        </w:p>
        <w:p w:rsidR="00461846" w:rsidRPr="005F4CC1" w:rsidRDefault="00461846" w:rsidP="002B6E45">
          <w:pPr>
            <w:pStyle w:val="Footer"/>
            <w:ind w:right="282"/>
            <w:jc w:val="left"/>
            <w:rPr>
              <w:noProof/>
              <w:color w:val="FFFFFF" w:themeColor="background1"/>
              <w:sz w:val="18"/>
              <w:szCs w:val="18"/>
              <w:lang w:val="en-US"/>
            </w:rPr>
          </w:pPr>
          <w:r>
            <w:rPr>
              <w:noProof/>
              <w:color w:val="FFFFFF" w:themeColor="background1"/>
              <w:sz w:val="18"/>
              <w:szCs w:val="18"/>
              <w:lang w:val="en-US"/>
            </w:rPr>
            <w:t>May be reproduced and adapted with permission but the author must be acknowledged.</w:t>
          </w:r>
        </w:p>
      </w:tc>
      <w:tc>
        <w:tcPr>
          <w:tcW w:w="3923" w:type="dxa"/>
          <w:shd w:val="clear" w:color="auto" w:fill="808080" w:themeFill="background1" w:themeFillShade="80"/>
        </w:tcPr>
        <w:p w:rsidR="00461846" w:rsidRPr="00B03206" w:rsidRDefault="00461846" w:rsidP="00461846">
          <w:pPr>
            <w:pStyle w:val="Footer"/>
            <w:ind w:right="282"/>
            <w:jc w:val="right"/>
            <w:rPr>
              <w:noProof/>
              <w:sz w:val="20"/>
              <w:szCs w:val="20"/>
              <w:lang w:val="en-US"/>
            </w:rPr>
          </w:pPr>
          <w:r w:rsidRPr="00B03206">
            <w:rPr>
              <w:color w:val="FFFFFF" w:themeColor="background1"/>
              <w:sz w:val="20"/>
              <w:szCs w:val="20"/>
            </w:rPr>
            <w:t>QA</w:t>
          </w:r>
          <w:r w:rsidRPr="00B03206">
            <w:rPr>
              <w:color w:val="FFFFFF" w:themeColor="background1"/>
              <w:sz w:val="24"/>
              <w:szCs w:val="24"/>
            </w:rPr>
            <w:t xml:space="preserve">2 </w:t>
          </w:r>
          <w:r w:rsidRPr="00B03206">
            <w:rPr>
              <w:color w:val="FFFFFF" w:themeColor="background1"/>
              <w:sz w:val="20"/>
              <w:szCs w:val="20"/>
            </w:rPr>
            <w:t>QA</w:t>
          </w:r>
          <w:r w:rsidRPr="00B03206">
            <w:rPr>
              <w:color w:val="FFFFFF" w:themeColor="background1"/>
              <w:sz w:val="24"/>
              <w:szCs w:val="24"/>
            </w:rPr>
            <w:t>7</w:t>
          </w:r>
        </w:p>
      </w:tc>
    </w:tr>
  </w:tbl>
  <w:p w:rsidR="00FC7AF1" w:rsidRDefault="00FC7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5E" w:rsidRDefault="00344B5E" w:rsidP="00FC7AF1">
      <w:r>
        <w:separator/>
      </w:r>
    </w:p>
  </w:footnote>
  <w:footnote w:type="continuationSeparator" w:id="0">
    <w:p w:rsidR="00344B5E" w:rsidRDefault="00344B5E" w:rsidP="00FC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F1" w:rsidRDefault="006E49F6" w:rsidP="006C3A67">
    <w:pPr>
      <w:pStyle w:val="Header"/>
      <w:ind w:left="-1276" w:right="-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D4D46B" wp14:editId="18E5F912">
              <wp:simplePos x="0" y="0"/>
              <wp:positionH relativeFrom="column">
                <wp:posOffset>-688975</wp:posOffset>
              </wp:positionH>
              <wp:positionV relativeFrom="paragraph">
                <wp:posOffset>337820</wp:posOffset>
              </wp:positionV>
              <wp:extent cx="7317740" cy="656590"/>
              <wp:effectExtent l="0" t="0" r="16510" b="1016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7740" cy="656590"/>
                        <a:chOff x="0" y="0"/>
                        <a:chExt cx="7374890" cy="600074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0" y="0"/>
                          <a:ext cx="7374890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6E49F6" w:rsidRDefault="006E49F6" w:rsidP="006E4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219075" y="171449"/>
                          <a:ext cx="381000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6E49F6" w:rsidRPr="002360B0" w:rsidRDefault="006E49F6" w:rsidP="006E49F6">
                            <w:pPr>
                              <w:jc w:val="left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Managing Infectious Diseases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DD4D46B" id="Group 3" o:spid="_x0000_s1026" style="position:absolute;left:0;text-align:left;margin-left:-54.25pt;margin-top:26.6pt;width:576.2pt;height:51.7pt;z-index:251659264;mso-width-relative:margin;mso-height-relative:margin" coordsize="73748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width:7374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" fillcolor="#7f7f7f" strokecolor="#a6a6a6" strokeweight=".5pt">
                <v:textbox>
                  <w:txbxContent>
                    <w:p w:rsidR="006E49F6" w:rsidRDefault="006E49F6" w:rsidP="006E49F6"/>
                  </w:txbxContent>
                </v:textbox>
              </v:shape>
              <v:shape id="Text Box 5" o:spid="_x0000_s1028" type="#_x0000_t202" style="position:absolute;left:2190;top:1714;width:3810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" fillcolor="#92d050" strokecolor="#92d050" strokeweight=".5pt">
                <v:textbox>
                  <w:txbxContent>
                    <w:p w:rsidR="006E49F6" w:rsidRPr="002360B0" w:rsidRDefault="006E49F6" w:rsidP="006E49F6">
                      <w:pPr>
                        <w:jc w:val="left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Managing Infectious Diseases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5B6"/>
    <w:multiLevelType w:val="hybridMultilevel"/>
    <w:tmpl w:val="9E7C9FD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7B89"/>
    <w:multiLevelType w:val="hybridMultilevel"/>
    <w:tmpl w:val="96B2AD3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5EB1"/>
    <w:multiLevelType w:val="hybridMultilevel"/>
    <w:tmpl w:val="58ECD9E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B2D2C"/>
    <w:multiLevelType w:val="hybridMultilevel"/>
    <w:tmpl w:val="7F78ADF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42183"/>
    <w:multiLevelType w:val="hybridMultilevel"/>
    <w:tmpl w:val="3342E5B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4A3F"/>
    <w:multiLevelType w:val="hybridMultilevel"/>
    <w:tmpl w:val="37D42C5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C01FB"/>
    <w:multiLevelType w:val="hybridMultilevel"/>
    <w:tmpl w:val="F20C3E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C4CB1"/>
    <w:multiLevelType w:val="hybridMultilevel"/>
    <w:tmpl w:val="B2B66FE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C36CA"/>
    <w:multiLevelType w:val="hybridMultilevel"/>
    <w:tmpl w:val="5A9C9CB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33410"/>
    <w:multiLevelType w:val="hybridMultilevel"/>
    <w:tmpl w:val="E3F82F1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F3233"/>
    <w:multiLevelType w:val="hybridMultilevel"/>
    <w:tmpl w:val="050AB0B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22B33"/>
    <w:multiLevelType w:val="hybridMultilevel"/>
    <w:tmpl w:val="DFEC1BD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B56C6"/>
    <w:multiLevelType w:val="hybridMultilevel"/>
    <w:tmpl w:val="1444D13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40AD9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4A"/>
    <w:rsid w:val="000331B6"/>
    <w:rsid w:val="00072427"/>
    <w:rsid w:val="00081268"/>
    <w:rsid w:val="0008714E"/>
    <w:rsid w:val="000909A7"/>
    <w:rsid w:val="000A2522"/>
    <w:rsid w:val="000B1049"/>
    <w:rsid w:val="000D059C"/>
    <w:rsid w:val="000D2052"/>
    <w:rsid w:val="000F4D51"/>
    <w:rsid w:val="001030E3"/>
    <w:rsid w:val="00111C0E"/>
    <w:rsid w:val="001123E2"/>
    <w:rsid w:val="00127055"/>
    <w:rsid w:val="00143417"/>
    <w:rsid w:val="00155F36"/>
    <w:rsid w:val="0016189E"/>
    <w:rsid w:val="00164E62"/>
    <w:rsid w:val="00187A29"/>
    <w:rsid w:val="00195BC3"/>
    <w:rsid w:val="00195EC6"/>
    <w:rsid w:val="001B759C"/>
    <w:rsid w:val="001D06C8"/>
    <w:rsid w:val="001D0830"/>
    <w:rsid w:val="001F02AE"/>
    <w:rsid w:val="001F2361"/>
    <w:rsid w:val="002213AC"/>
    <w:rsid w:val="00233E4A"/>
    <w:rsid w:val="002374BF"/>
    <w:rsid w:val="0024700A"/>
    <w:rsid w:val="00267336"/>
    <w:rsid w:val="00273C27"/>
    <w:rsid w:val="00275981"/>
    <w:rsid w:val="00282CD2"/>
    <w:rsid w:val="002B0810"/>
    <w:rsid w:val="002B4875"/>
    <w:rsid w:val="002E1836"/>
    <w:rsid w:val="00344B5E"/>
    <w:rsid w:val="00356954"/>
    <w:rsid w:val="003572EA"/>
    <w:rsid w:val="0036374A"/>
    <w:rsid w:val="00367B7A"/>
    <w:rsid w:val="00375176"/>
    <w:rsid w:val="00382B91"/>
    <w:rsid w:val="00383AAF"/>
    <w:rsid w:val="003A28BF"/>
    <w:rsid w:val="003A2A0A"/>
    <w:rsid w:val="003C176A"/>
    <w:rsid w:val="003C7458"/>
    <w:rsid w:val="003D4830"/>
    <w:rsid w:val="003D6877"/>
    <w:rsid w:val="004068A2"/>
    <w:rsid w:val="00407C0D"/>
    <w:rsid w:val="004102B4"/>
    <w:rsid w:val="00410DB5"/>
    <w:rsid w:val="00412BE8"/>
    <w:rsid w:val="00457F60"/>
    <w:rsid w:val="00461846"/>
    <w:rsid w:val="00465209"/>
    <w:rsid w:val="00466D14"/>
    <w:rsid w:val="00471B75"/>
    <w:rsid w:val="00472896"/>
    <w:rsid w:val="004815E3"/>
    <w:rsid w:val="004829D1"/>
    <w:rsid w:val="004835A3"/>
    <w:rsid w:val="00494FCA"/>
    <w:rsid w:val="004C28BB"/>
    <w:rsid w:val="004C4A2D"/>
    <w:rsid w:val="004D367E"/>
    <w:rsid w:val="004E1EBF"/>
    <w:rsid w:val="004E6296"/>
    <w:rsid w:val="004F3C99"/>
    <w:rsid w:val="00552157"/>
    <w:rsid w:val="005633F1"/>
    <w:rsid w:val="005964EA"/>
    <w:rsid w:val="005A5DA9"/>
    <w:rsid w:val="005D0819"/>
    <w:rsid w:val="005D2588"/>
    <w:rsid w:val="005D5CF0"/>
    <w:rsid w:val="005E18A5"/>
    <w:rsid w:val="005F3004"/>
    <w:rsid w:val="006025F0"/>
    <w:rsid w:val="00606066"/>
    <w:rsid w:val="00614C25"/>
    <w:rsid w:val="00615895"/>
    <w:rsid w:val="00630E7B"/>
    <w:rsid w:val="00640E9E"/>
    <w:rsid w:val="00664A4E"/>
    <w:rsid w:val="0067695C"/>
    <w:rsid w:val="00694DC4"/>
    <w:rsid w:val="006A4D35"/>
    <w:rsid w:val="006B04BE"/>
    <w:rsid w:val="006C3A67"/>
    <w:rsid w:val="006C5AB7"/>
    <w:rsid w:val="006E02DA"/>
    <w:rsid w:val="006E49F6"/>
    <w:rsid w:val="006E5201"/>
    <w:rsid w:val="006F0A7F"/>
    <w:rsid w:val="006F32C4"/>
    <w:rsid w:val="0072401F"/>
    <w:rsid w:val="00762239"/>
    <w:rsid w:val="007A5A6E"/>
    <w:rsid w:val="007F17C7"/>
    <w:rsid w:val="00803376"/>
    <w:rsid w:val="0083267D"/>
    <w:rsid w:val="008353DF"/>
    <w:rsid w:val="008358DD"/>
    <w:rsid w:val="00854C5F"/>
    <w:rsid w:val="00857701"/>
    <w:rsid w:val="00860482"/>
    <w:rsid w:val="00880661"/>
    <w:rsid w:val="00897AB5"/>
    <w:rsid w:val="00897BAD"/>
    <w:rsid w:val="008A3D5E"/>
    <w:rsid w:val="008B56CB"/>
    <w:rsid w:val="008B73AB"/>
    <w:rsid w:val="008C1907"/>
    <w:rsid w:val="008C1F29"/>
    <w:rsid w:val="008F0FE7"/>
    <w:rsid w:val="00913520"/>
    <w:rsid w:val="009235A1"/>
    <w:rsid w:val="009323D3"/>
    <w:rsid w:val="009477F4"/>
    <w:rsid w:val="00951A24"/>
    <w:rsid w:val="009524DC"/>
    <w:rsid w:val="009576AA"/>
    <w:rsid w:val="00976F90"/>
    <w:rsid w:val="00977D52"/>
    <w:rsid w:val="009965FB"/>
    <w:rsid w:val="00997F5E"/>
    <w:rsid w:val="009B09C8"/>
    <w:rsid w:val="009E74EF"/>
    <w:rsid w:val="009E7D4C"/>
    <w:rsid w:val="009F0999"/>
    <w:rsid w:val="00A00A96"/>
    <w:rsid w:val="00A02720"/>
    <w:rsid w:val="00A07EB2"/>
    <w:rsid w:val="00A14857"/>
    <w:rsid w:val="00A524AA"/>
    <w:rsid w:val="00A621D4"/>
    <w:rsid w:val="00A95329"/>
    <w:rsid w:val="00A95F7F"/>
    <w:rsid w:val="00AA5227"/>
    <w:rsid w:val="00AA7204"/>
    <w:rsid w:val="00AA7B49"/>
    <w:rsid w:val="00AB1006"/>
    <w:rsid w:val="00AE3DC7"/>
    <w:rsid w:val="00B06C00"/>
    <w:rsid w:val="00B125B6"/>
    <w:rsid w:val="00B25262"/>
    <w:rsid w:val="00B32629"/>
    <w:rsid w:val="00B41425"/>
    <w:rsid w:val="00B545D7"/>
    <w:rsid w:val="00B553CE"/>
    <w:rsid w:val="00B56A17"/>
    <w:rsid w:val="00B56E16"/>
    <w:rsid w:val="00B709F3"/>
    <w:rsid w:val="00B713C8"/>
    <w:rsid w:val="00B72B80"/>
    <w:rsid w:val="00B83368"/>
    <w:rsid w:val="00B95E8C"/>
    <w:rsid w:val="00BB4CD2"/>
    <w:rsid w:val="00BD47AB"/>
    <w:rsid w:val="00BE3192"/>
    <w:rsid w:val="00BF6367"/>
    <w:rsid w:val="00C03208"/>
    <w:rsid w:val="00C1191A"/>
    <w:rsid w:val="00C13775"/>
    <w:rsid w:val="00C22A17"/>
    <w:rsid w:val="00C2778A"/>
    <w:rsid w:val="00C30719"/>
    <w:rsid w:val="00C31641"/>
    <w:rsid w:val="00C449C0"/>
    <w:rsid w:val="00C52C53"/>
    <w:rsid w:val="00C55B16"/>
    <w:rsid w:val="00C6102F"/>
    <w:rsid w:val="00C61326"/>
    <w:rsid w:val="00C669E5"/>
    <w:rsid w:val="00C72D31"/>
    <w:rsid w:val="00C768B5"/>
    <w:rsid w:val="00C76CB4"/>
    <w:rsid w:val="00C83FBA"/>
    <w:rsid w:val="00C9794B"/>
    <w:rsid w:val="00CB6033"/>
    <w:rsid w:val="00CC176F"/>
    <w:rsid w:val="00CC6860"/>
    <w:rsid w:val="00CE573B"/>
    <w:rsid w:val="00CF3742"/>
    <w:rsid w:val="00D26E8B"/>
    <w:rsid w:val="00D30E65"/>
    <w:rsid w:val="00D40DF8"/>
    <w:rsid w:val="00D475FC"/>
    <w:rsid w:val="00D50890"/>
    <w:rsid w:val="00D779C4"/>
    <w:rsid w:val="00D93BB1"/>
    <w:rsid w:val="00D964FB"/>
    <w:rsid w:val="00DA6587"/>
    <w:rsid w:val="00DC422E"/>
    <w:rsid w:val="00DD00A0"/>
    <w:rsid w:val="00DD3E9E"/>
    <w:rsid w:val="00E31DB2"/>
    <w:rsid w:val="00E36C82"/>
    <w:rsid w:val="00E82843"/>
    <w:rsid w:val="00EA2E85"/>
    <w:rsid w:val="00EA3698"/>
    <w:rsid w:val="00EB1144"/>
    <w:rsid w:val="00EB6F7D"/>
    <w:rsid w:val="00EC5908"/>
    <w:rsid w:val="00ED2DA4"/>
    <w:rsid w:val="00EE005C"/>
    <w:rsid w:val="00EE0ED3"/>
    <w:rsid w:val="00EE13DD"/>
    <w:rsid w:val="00F00724"/>
    <w:rsid w:val="00F019E5"/>
    <w:rsid w:val="00F04075"/>
    <w:rsid w:val="00F07F3A"/>
    <w:rsid w:val="00F11AB5"/>
    <w:rsid w:val="00F13255"/>
    <w:rsid w:val="00F322F8"/>
    <w:rsid w:val="00F3371A"/>
    <w:rsid w:val="00F50E15"/>
    <w:rsid w:val="00F640F3"/>
    <w:rsid w:val="00F975E8"/>
    <w:rsid w:val="00FB5AB6"/>
    <w:rsid w:val="00FB63A4"/>
    <w:rsid w:val="00FC7AF1"/>
    <w:rsid w:val="00FD4DCD"/>
    <w:rsid w:val="00FD6401"/>
    <w:rsid w:val="00FD7F85"/>
    <w:rsid w:val="00FE2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94A91313-B661-4546-96AB-64B00A45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8B"/>
    <w:pPr>
      <w:jc w:val="center"/>
    </w:pPr>
    <w:rPr>
      <w:rFonts w:cs="Times New Roman"/>
      <w:sz w:val="28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DD3E9E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DD3E9E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6374A"/>
    <w:pPr>
      <w:jc w:val="left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374A"/>
    <w:rPr>
      <w:rFonts w:ascii="Times New Roman" w:hAnsi="Times New Roman" w:cs="Times New Roman"/>
      <w:b/>
      <w:i/>
      <w:sz w:val="24"/>
    </w:rPr>
  </w:style>
  <w:style w:type="table" w:styleId="TableGrid">
    <w:name w:val="Table Grid"/>
    <w:basedOn w:val="TableNormal"/>
    <w:uiPriority w:val="99"/>
    <w:rsid w:val="0036374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4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307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8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FC7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7AF1"/>
    <w:rPr>
      <w:rFonts w:cs="Times New Roman"/>
      <w:sz w:val="22"/>
      <w:szCs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AF1"/>
    <w:rPr>
      <w:rFonts w:ascii="Tahoma" w:hAnsi="Tahoma" w:cs="Tahoma"/>
      <w:sz w:val="16"/>
      <w:szCs w:val="16"/>
      <w:lang w:val="x-none" w:eastAsia="en-US"/>
    </w:rPr>
  </w:style>
  <w:style w:type="character" w:styleId="Strong">
    <w:name w:val="Strong"/>
    <w:basedOn w:val="DefaultParagraphFont"/>
    <w:uiPriority w:val="22"/>
    <w:qFormat/>
    <w:locked/>
    <w:rsid w:val="00C6132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C3A6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C3A67"/>
    <w:rPr>
      <w:rFonts w:cs="Times New Roman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6C3A6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15">
    <w:name w:val="A15"/>
    <w:rsid w:val="006C3A67"/>
    <w:rPr>
      <w:color w:val="000000"/>
      <w:sz w:val="14"/>
    </w:rPr>
  </w:style>
  <w:style w:type="paragraph" w:customStyle="1" w:styleId="Pa7">
    <w:name w:val="Pa7"/>
    <w:basedOn w:val="Normal"/>
    <w:next w:val="Normal"/>
    <w:rsid w:val="006C3A67"/>
    <w:pPr>
      <w:autoSpaceDE w:val="0"/>
      <w:autoSpaceDN w:val="0"/>
      <w:adjustRightInd w:val="0"/>
      <w:spacing w:line="221" w:lineRule="atLeast"/>
      <w:jc w:val="left"/>
    </w:pPr>
    <w:rPr>
      <w:rFonts w:ascii="Meta Plus Normal" w:hAnsi="Meta Plus Normal"/>
      <w:sz w:val="24"/>
      <w:szCs w:val="24"/>
    </w:rPr>
  </w:style>
  <w:style w:type="character" w:styleId="HTMLCite">
    <w:name w:val="HTML Cite"/>
    <w:basedOn w:val="DefaultParagraphFont"/>
    <w:uiPriority w:val="99"/>
    <w:rsid w:val="005D2588"/>
    <w:rPr>
      <w:rFonts w:cs="Times New Roman"/>
      <w:i/>
    </w:rPr>
  </w:style>
  <w:style w:type="character" w:customStyle="1" w:styleId="vshid1">
    <w:name w:val="vshid1"/>
    <w:uiPriority w:val="99"/>
    <w:rsid w:val="005D2588"/>
    <w:rPr>
      <w:vanish/>
    </w:rPr>
  </w:style>
  <w:style w:type="paragraph" w:customStyle="1" w:styleId="Pa20">
    <w:name w:val="Pa20"/>
    <w:basedOn w:val="Normal"/>
    <w:next w:val="Normal"/>
    <w:rsid w:val="009E7D4C"/>
    <w:pPr>
      <w:autoSpaceDE w:val="0"/>
      <w:autoSpaceDN w:val="0"/>
      <w:adjustRightInd w:val="0"/>
      <w:spacing w:line="191" w:lineRule="atLeast"/>
      <w:jc w:val="left"/>
    </w:pPr>
    <w:rPr>
      <w:rFonts w:ascii="Meta Plus Normal" w:hAnsi="Meta Plus Normal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604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2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_files_nhmrc/publications/attachments/ch55_staying_healthy_childcare_5th_edition_0.pdf" TargetMode="External"/><Relationship Id="rId13" Type="http://schemas.openxmlformats.org/officeDocument/2006/relationships/hyperlink" Target="https://www.health.qld.gov.au/ph/documents/cdb/timeout_post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lth.qld.gov.au/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mrc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mmunise.health.gov.au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mrc.gov.au/_files_nhmrc/publications/attachments/ch55e_exclusion_period_poster_13070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53F8-6642-4443-ACF7-FBD4D08C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Infectious Diseases</vt:lpstr>
    </vt:vector>
  </TitlesOfParts>
  <Company>Toshiba</Company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Infectious Diseases</dc:title>
  <dc:subject/>
  <dc:creator>Dr Brenda Abbey</dc:creator>
  <cp:keywords/>
  <dc:description/>
  <cp:lastModifiedBy>Maryann Dziedzic</cp:lastModifiedBy>
  <cp:revision>2</cp:revision>
  <cp:lastPrinted>2012-04-14T23:08:00Z</cp:lastPrinted>
  <dcterms:created xsi:type="dcterms:W3CDTF">2018-02-16T07:46:00Z</dcterms:created>
  <dcterms:modified xsi:type="dcterms:W3CDTF">2018-02-16T07:46:00Z</dcterms:modified>
</cp:coreProperties>
</file>