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CF" w:rsidRDefault="009B34CF" w:rsidP="00F72DDA">
      <w:pPr>
        <w:rPr>
          <w:b/>
          <w:sz w:val="22"/>
        </w:rPr>
      </w:pPr>
      <w:bookmarkStart w:id="0" w:name="OLE_LINK3"/>
    </w:p>
    <w:p w:rsidR="009B34CF" w:rsidRDefault="009B34CF" w:rsidP="00F72DDA">
      <w:pPr>
        <w:rPr>
          <w:b/>
          <w:sz w:val="22"/>
        </w:rPr>
      </w:pPr>
    </w:p>
    <w:p w:rsidR="00F85C0B" w:rsidRDefault="003B406D" w:rsidP="00F72DDA">
      <w:pPr>
        <w:rPr>
          <w:b/>
          <w:sz w:val="22"/>
        </w:rPr>
      </w:pPr>
      <w:r>
        <w:rPr>
          <w:b/>
          <w:sz w:val="22"/>
        </w:rPr>
        <w:t>Canossa Kindergarten</w:t>
      </w:r>
    </w:p>
    <w:p w:rsidR="00F72DDA" w:rsidRPr="000A2EDC" w:rsidRDefault="00F72DDA" w:rsidP="00F72DDA">
      <w:pPr>
        <w:rPr>
          <w:b/>
          <w:sz w:val="22"/>
        </w:rPr>
      </w:pPr>
    </w:p>
    <w:p w:rsidR="00F85C0B" w:rsidRDefault="00F85C0B" w:rsidP="00F85C0B">
      <w:pPr>
        <w:pBdr>
          <w:bottom w:val="single" w:sz="4" w:space="1" w:color="auto"/>
        </w:pBdr>
        <w:jc w:val="both"/>
        <w:rPr>
          <w:b/>
          <w:sz w:val="22"/>
        </w:rPr>
      </w:pPr>
    </w:p>
    <w:p w:rsidR="00F85C0B" w:rsidRPr="000A2EDC" w:rsidRDefault="00F85C0B" w:rsidP="00F72DDA">
      <w:pPr>
        <w:pBdr>
          <w:bottom w:val="single" w:sz="4" w:space="1" w:color="auto"/>
        </w:pBdr>
        <w:jc w:val="left"/>
        <w:rPr>
          <w:b/>
          <w:sz w:val="22"/>
        </w:rPr>
      </w:pPr>
      <w:r w:rsidRPr="000A2EDC">
        <w:rPr>
          <w:b/>
          <w:sz w:val="22"/>
        </w:rPr>
        <w:t>Background</w:t>
      </w:r>
    </w:p>
    <w:p w:rsidR="00F85C0B" w:rsidRPr="000A2EDC" w:rsidRDefault="00F85C0B" w:rsidP="00F85C0B">
      <w:pPr>
        <w:ind w:left="360"/>
        <w:rPr>
          <w:sz w:val="22"/>
        </w:rPr>
      </w:pPr>
    </w:p>
    <w:p w:rsidR="00F85C0B" w:rsidRPr="00D73E67" w:rsidRDefault="00415D1D" w:rsidP="00512A79">
      <w:pPr>
        <w:pBdr>
          <w:bottom w:val="single" w:sz="4" w:space="1" w:color="auto"/>
        </w:pBdr>
        <w:jc w:val="both"/>
        <w:rPr>
          <w:sz w:val="22"/>
        </w:rPr>
      </w:pPr>
      <w:r>
        <w:rPr>
          <w:sz w:val="22"/>
        </w:rPr>
        <w:t>The immune system</w:t>
      </w:r>
      <w:r w:rsidR="00C36E6F">
        <w:rPr>
          <w:sz w:val="22"/>
        </w:rPr>
        <w:t>s</w:t>
      </w:r>
      <w:r w:rsidR="003B406D">
        <w:rPr>
          <w:sz w:val="22"/>
        </w:rPr>
        <w:t xml:space="preserve"> </w:t>
      </w:r>
      <w:proofErr w:type="gramStart"/>
      <w:r w:rsidR="003B406D">
        <w:rPr>
          <w:sz w:val="22"/>
        </w:rPr>
        <w:t xml:space="preserve">of </w:t>
      </w:r>
      <w:r>
        <w:rPr>
          <w:sz w:val="22"/>
        </w:rPr>
        <w:t xml:space="preserve"> young</w:t>
      </w:r>
      <w:proofErr w:type="gramEnd"/>
      <w:r>
        <w:rPr>
          <w:sz w:val="22"/>
        </w:rPr>
        <w:t xml:space="preserve"> children</w:t>
      </w:r>
      <w:r w:rsidR="00C36E6F">
        <w:rPr>
          <w:sz w:val="22"/>
        </w:rPr>
        <w:t xml:space="preserve"> are</w:t>
      </w:r>
      <w:r>
        <w:rPr>
          <w:sz w:val="22"/>
        </w:rPr>
        <w:t xml:space="preserve"> still developing. In early education and care services</w:t>
      </w:r>
      <w:r w:rsidR="003B406D">
        <w:rPr>
          <w:sz w:val="22"/>
        </w:rPr>
        <w:t xml:space="preserve"> where</w:t>
      </w:r>
      <w:r>
        <w:rPr>
          <w:sz w:val="22"/>
        </w:rPr>
        <w:t xml:space="preserve"> toileting take place on shared facilities</w:t>
      </w:r>
      <w:r w:rsidR="0049086D">
        <w:rPr>
          <w:sz w:val="22"/>
        </w:rPr>
        <w:t>, children can be at risk of e</w:t>
      </w:r>
      <w:r>
        <w:rPr>
          <w:sz w:val="22"/>
        </w:rPr>
        <w:t xml:space="preserve">xposure to infection and cross-infection </w:t>
      </w:r>
      <w:r w:rsidR="00C36E6F">
        <w:rPr>
          <w:sz w:val="22"/>
        </w:rPr>
        <w:t>if c</w:t>
      </w:r>
      <w:r w:rsidR="0049086D">
        <w:rPr>
          <w:sz w:val="22"/>
        </w:rPr>
        <w:t>orrect hygiene principles are not followed diligentl</w:t>
      </w:r>
      <w:r w:rsidR="003B406D">
        <w:rPr>
          <w:sz w:val="22"/>
        </w:rPr>
        <w:t>y at all times.  T</w:t>
      </w:r>
      <w:r w:rsidR="0049086D">
        <w:rPr>
          <w:sz w:val="22"/>
        </w:rPr>
        <w:t>oileting times are also moments where educators have the opportunity to develop children’s self-esteem and to deepen relationship</w:t>
      </w:r>
      <w:r w:rsidR="00C36E6F">
        <w:rPr>
          <w:sz w:val="22"/>
        </w:rPr>
        <w:t>s</w:t>
      </w:r>
      <w:r w:rsidR="0049086D">
        <w:rPr>
          <w:sz w:val="22"/>
        </w:rPr>
        <w:t xml:space="preserve"> with the</w:t>
      </w:r>
      <w:r w:rsidR="00C36E6F">
        <w:rPr>
          <w:sz w:val="22"/>
        </w:rPr>
        <w:t xml:space="preserve"> children. </w:t>
      </w:r>
      <w:r w:rsidR="0049086D">
        <w:rPr>
          <w:sz w:val="22"/>
        </w:rPr>
        <w:t xml:space="preserve"> </w:t>
      </w:r>
      <w:r w:rsidR="00512A79" w:rsidRPr="00D73E67">
        <w:rPr>
          <w:sz w:val="22"/>
        </w:rPr>
        <w:t xml:space="preserve">  </w:t>
      </w:r>
    </w:p>
    <w:p w:rsidR="00512A79" w:rsidRPr="00A1579D" w:rsidRDefault="00512A79" w:rsidP="00512A79">
      <w:pPr>
        <w:pBdr>
          <w:bottom w:val="single" w:sz="4" w:space="1" w:color="auto"/>
        </w:pBdr>
        <w:jc w:val="both"/>
        <w:rPr>
          <w:b/>
          <w:color w:val="003366"/>
          <w:sz w:val="22"/>
        </w:rPr>
      </w:pPr>
    </w:p>
    <w:p w:rsidR="00F85C0B" w:rsidRPr="003A260D" w:rsidRDefault="00F85C0B" w:rsidP="00F72DDA">
      <w:pPr>
        <w:pBdr>
          <w:bottom w:val="single" w:sz="4" w:space="1" w:color="auto"/>
        </w:pBdr>
        <w:jc w:val="left"/>
        <w:rPr>
          <w:b/>
          <w:color w:val="000000"/>
          <w:sz w:val="22"/>
        </w:rPr>
      </w:pPr>
      <w:r w:rsidRPr="003A260D">
        <w:rPr>
          <w:b/>
          <w:color w:val="000000"/>
          <w:sz w:val="22"/>
        </w:rPr>
        <w:t>Policy statement</w:t>
      </w:r>
    </w:p>
    <w:p w:rsidR="00F85C0B" w:rsidRPr="003A260D" w:rsidRDefault="00F85C0B" w:rsidP="00F85C0B">
      <w:pPr>
        <w:ind w:left="360"/>
        <w:rPr>
          <w:color w:val="000000"/>
          <w:sz w:val="22"/>
        </w:rPr>
      </w:pPr>
    </w:p>
    <w:p w:rsidR="00F85C0B" w:rsidRPr="003A260D" w:rsidRDefault="00F85C0B" w:rsidP="00F85C0B">
      <w:pPr>
        <w:jc w:val="both"/>
        <w:rPr>
          <w:color w:val="000000"/>
          <w:sz w:val="22"/>
        </w:rPr>
      </w:pPr>
      <w:bookmarkStart w:id="1" w:name="OLE_LINK4"/>
      <w:r w:rsidRPr="003A260D">
        <w:rPr>
          <w:color w:val="000000"/>
          <w:sz w:val="22"/>
        </w:rPr>
        <w:t>This Policy recognises the importance of: correct hygiene principles in minimising the spread of d</w:t>
      </w:r>
      <w:r w:rsidR="003B406D">
        <w:rPr>
          <w:color w:val="000000"/>
          <w:sz w:val="22"/>
        </w:rPr>
        <w:t xml:space="preserve">isease during </w:t>
      </w:r>
      <w:r w:rsidRPr="003A260D">
        <w:rPr>
          <w:color w:val="000000"/>
          <w:sz w:val="22"/>
        </w:rPr>
        <w:t xml:space="preserve"> toileting; close co</w:t>
      </w:r>
      <w:r w:rsidR="00C36E6F">
        <w:rPr>
          <w:color w:val="000000"/>
          <w:sz w:val="22"/>
        </w:rPr>
        <w:t>-</w:t>
      </w:r>
      <w:r w:rsidRPr="003A260D">
        <w:rPr>
          <w:color w:val="000000"/>
          <w:sz w:val="22"/>
        </w:rPr>
        <w:t>operation with parents to</w:t>
      </w:r>
      <w:r w:rsidR="003B406D">
        <w:rPr>
          <w:color w:val="000000"/>
          <w:sz w:val="22"/>
        </w:rPr>
        <w:t xml:space="preserve"> ensure that  toileting is a positive experience</w:t>
      </w:r>
      <w:r w:rsidRPr="003A260D">
        <w:rPr>
          <w:color w:val="000000"/>
          <w:sz w:val="22"/>
        </w:rPr>
        <w:t xml:space="preserve"> for the children</w:t>
      </w:r>
      <w:r>
        <w:rPr>
          <w:color w:val="000000"/>
          <w:sz w:val="22"/>
        </w:rPr>
        <w:t xml:space="preserve"> </w:t>
      </w:r>
      <w:r w:rsidR="00C36E6F">
        <w:rPr>
          <w:color w:val="000000"/>
          <w:sz w:val="22"/>
        </w:rPr>
        <w:t xml:space="preserve">equally </w:t>
      </w:r>
      <w:r>
        <w:rPr>
          <w:color w:val="000000"/>
          <w:sz w:val="22"/>
        </w:rPr>
        <w:t xml:space="preserve">at home and at </w:t>
      </w:r>
      <w:r w:rsidR="00231468">
        <w:rPr>
          <w:color w:val="000000"/>
          <w:sz w:val="22"/>
        </w:rPr>
        <w:t>t</w:t>
      </w:r>
      <w:r>
        <w:rPr>
          <w:color w:val="000000"/>
          <w:sz w:val="22"/>
        </w:rPr>
        <w:t xml:space="preserve">he </w:t>
      </w:r>
      <w:r w:rsidR="00231468">
        <w:rPr>
          <w:color w:val="000000"/>
          <w:sz w:val="22"/>
        </w:rPr>
        <w:t>Service</w:t>
      </w:r>
      <w:r>
        <w:rPr>
          <w:color w:val="000000"/>
          <w:sz w:val="22"/>
        </w:rPr>
        <w:t xml:space="preserve">; </w:t>
      </w:r>
      <w:r w:rsidRPr="003A260D">
        <w:rPr>
          <w:color w:val="000000"/>
          <w:sz w:val="22"/>
        </w:rPr>
        <w:t xml:space="preserve">and, a calm, positive  and affirming response to toileting accidents. </w:t>
      </w:r>
    </w:p>
    <w:p w:rsidR="00F85C0B" w:rsidRPr="00A1579D" w:rsidRDefault="00F85C0B" w:rsidP="00F85C0B">
      <w:pPr>
        <w:jc w:val="both"/>
        <w:rPr>
          <w:color w:val="003366"/>
          <w:sz w:val="22"/>
        </w:rPr>
      </w:pPr>
    </w:p>
    <w:bookmarkEnd w:id="1"/>
    <w:p w:rsidR="00F85C0B" w:rsidRPr="003A260D" w:rsidRDefault="00F85C0B" w:rsidP="00F72DDA">
      <w:pPr>
        <w:pBdr>
          <w:bottom w:val="single" w:sz="4" w:space="1" w:color="auto"/>
        </w:pBdr>
        <w:jc w:val="left"/>
        <w:rPr>
          <w:b/>
          <w:color w:val="000000"/>
          <w:sz w:val="22"/>
        </w:rPr>
      </w:pPr>
      <w:r w:rsidRPr="003A260D">
        <w:rPr>
          <w:b/>
          <w:color w:val="000000"/>
          <w:sz w:val="22"/>
        </w:rPr>
        <w:t>Strategies and practices</w:t>
      </w:r>
    </w:p>
    <w:p w:rsidR="00F85C0B" w:rsidRPr="00A1579D" w:rsidRDefault="00F85C0B" w:rsidP="00F85C0B">
      <w:pPr>
        <w:suppressAutoHyphens/>
        <w:jc w:val="both"/>
        <w:rPr>
          <w:rFonts w:cs="Calibri"/>
          <w:color w:val="003366"/>
          <w:sz w:val="22"/>
        </w:rPr>
      </w:pPr>
    </w:p>
    <w:p w:rsidR="00F85C0B" w:rsidRPr="003B406D" w:rsidRDefault="00F85C0B" w:rsidP="003B406D">
      <w:pPr>
        <w:numPr>
          <w:ilvl w:val="0"/>
          <w:numId w:val="5"/>
        </w:numPr>
        <w:jc w:val="both"/>
        <w:rPr>
          <w:color w:val="000000"/>
          <w:sz w:val="22"/>
        </w:rPr>
      </w:pPr>
      <w:r w:rsidRPr="003A260D">
        <w:rPr>
          <w:color w:val="000000"/>
          <w:sz w:val="22"/>
        </w:rPr>
        <w:t>Children’s need for privacy during toileting, dressing and undressing times are respected at all times.</w:t>
      </w:r>
    </w:p>
    <w:p w:rsidR="00F85C0B" w:rsidRDefault="00F85C0B" w:rsidP="00F85C0B">
      <w:pPr>
        <w:jc w:val="both"/>
        <w:rPr>
          <w:color w:val="003366"/>
          <w:sz w:val="22"/>
        </w:rPr>
      </w:pPr>
    </w:p>
    <w:p w:rsidR="00F85C0B" w:rsidRPr="003B406D" w:rsidRDefault="00F85C0B" w:rsidP="003B406D">
      <w:pPr>
        <w:numPr>
          <w:ilvl w:val="0"/>
          <w:numId w:val="5"/>
        </w:numPr>
        <w:jc w:val="both"/>
        <w:rPr>
          <w:color w:val="000000"/>
          <w:sz w:val="22"/>
        </w:rPr>
      </w:pPr>
      <w:r w:rsidRPr="003A260D">
        <w:rPr>
          <w:color w:val="000000"/>
          <w:sz w:val="22"/>
        </w:rPr>
        <w:t xml:space="preserve">Educators respond to toileting accidents calmly and positively, and encourage children </w:t>
      </w:r>
      <w:r>
        <w:rPr>
          <w:color w:val="000000"/>
          <w:sz w:val="22"/>
        </w:rPr>
        <w:t>in</w:t>
      </w:r>
      <w:r w:rsidRPr="003A260D">
        <w:rPr>
          <w:color w:val="000000"/>
          <w:sz w:val="22"/>
        </w:rPr>
        <w:t xml:space="preserve"> their efforts to </w:t>
      </w:r>
      <w:r>
        <w:rPr>
          <w:color w:val="000000"/>
          <w:sz w:val="22"/>
        </w:rPr>
        <w:t xml:space="preserve">become </w:t>
      </w:r>
      <w:r w:rsidRPr="003A260D">
        <w:rPr>
          <w:color w:val="000000"/>
          <w:sz w:val="22"/>
        </w:rPr>
        <w:t>independen</w:t>
      </w:r>
      <w:r>
        <w:rPr>
          <w:color w:val="000000"/>
          <w:sz w:val="22"/>
        </w:rPr>
        <w:t>t.</w:t>
      </w:r>
      <w:r w:rsidRPr="003B406D">
        <w:rPr>
          <w:color w:val="000000"/>
          <w:sz w:val="22"/>
        </w:rPr>
        <w:t xml:space="preserve"> </w:t>
      </w:r>
    </w:p>
    <w:p w:rsidR="00F85C0B" w:rsidRPr="00A1579D" w:rsidRDefault="00F85C0B" w:rsidP="00F85C0B">
      <w:pPr>
        <w:jc w:val="both"/>
        <w:rPr>
          <w:color w:val="003366"/>
          <w:sz w:val="22"/>
        </w:rPr>
      </w:pPr>
    </w:p>
    <w:p w:rsidR="00F85C0B" w:rsidRPr="00054F8F" w:rsidRDefault="003B406D" w:rsidP="0027147D">
      <w:pPr>
        <w:numPr>
          <w:ilvl w:val="0"/>
          <w:numId w:val="5"/>
        </w:numPr>
        <w:jc w:val="both"/>
        <w:rPr>
          <w:sz w:val="22"/>
          <w:u w:val="single"/>
        </w:rPr>
      </w:pPr>
      <w:r>
        <w:rPr>
          <w:sz w:val="22"/>
        </w:rPr>
        <w:t xml:space="preserve"> T</w:t>
      </w:r>
      <w:r w:rsidR="00F85C0B">
        <w:rPr>
          <w:sz w:val="22"/>
        </w:rPr>
        <w:t xml:space="preserve">he </w:t>
      </w:r>
      <w:r w:rsidR="00F85C0B" w:rsidRPr="00054F8F">
        <w:rPr>
          <w:sz w:val="22"/>
          <w:u w:val="single"/>
        </w:rPr>
        <w:t>Toileting Procedure</w:t>
      </w:r>
      <w:r>
        <w:rPr>
          <w:sz w:val="22"/>
        </w:rPr>
        <w:t xml:space="preserve"> is displayed in the toilet areas</w:t>
      </w:r>
      <w:r w:rsidR="00F85C0B">
        <w:rPr>
          <w:sz w:val="22"/>
        </w:rPr>
        <w:t xml:space="preserve">. </w:t>
      </w:r>
    </w:p>
    <w:p w:rsidR="00F85C0B" w:rsidRPr="00A1579D" w:rsidRDefault="00F85C0B" w:rsidP="00F85C0B">
      <w:pPr>
        <w:jc w:val="both"/>
        <w:rPr>
          <w:color w:val="003366"/>
          <w:sz w:val="22"/>
          <w:u w:val="single"/>
        </w:rPr>
      </w:pPr>
    </w:p>
    <w:p w:rsidR="00F85C0B" w:rsidRPr="00054F8F" w:rsidRDefault="00F85C0B" w:rsidP="0027147D">
      <w:pPr>
        <w:numPr>
          <w:ilvl w:val="0"/>
          <w:numId w:val="5"/>
        </w:numPr>
        <w:jc w:val="both"/>
        <w:rPr>
          <w:sz w:val="22"/>
          <w:u w:val="single"/>
        </w:rPr>
      </w:pPr>
      <w:r w:rsidRPr="00054F8F">
        <w:rPr>
          <w:sz w:val="22"/>
        </w:rPr>
        <w:t xml:space="preserve">Educators follow the </w:t>
      </w:r>
      <w:proofErr w:type="gramStart"/>
      <w:r w:rsidRPr="00054F8F">
        <w:rPr>
          <w:sz w:val="22"/>
        </w:rPr>
        <w:t xml:space="preserve">correct </w:t>
      </w:r>
      <w:r>
        <w:rPr>
          <w:sz w:val="22"/>
        </w:rPr>
        <w:t xml:space="preserve"> </w:t>
      </w:r>
      <w:r w:rsidRPr="00054F8F">
        <w:rPr>
          <w:sz w:val="22"/>
          <w:u w:val="single"/>
        </w:rPr>
        <w:t>Toileting</w:t>
      </w:r>
      <w:proofErr w:type="gramEnd"/>
      <w:r w:rsidRPr="00054F8F">
        <w:rPr>
          <w:sz w:val="22"/>
          <w:u w:val="single"/>
        </w:rPr>
        <w:t xml:space="preserve"> Procedure</w:t>
      </w:r>
      <w:r w:rsidRPr="00054F8F">
        <w:rPr>
          <w:sz w:val="22"/>
        </w:rPr>
        <w:t>.</w:t>
      </w:r>
      <w:r>
        <w:rPr>
          <w:sz w:val="22"/>
        </w:rPr>
        <w:t xml:space="preserve"> </w:t>
      </w:r>
    </w:p>
    <w:p w:rsidR="00F85C0B" w:rsidRDefault="00F85C0B" w:rsidP="00F85C0B">
      <w:pPr>
        <w:jc w:val="both"/>
        <w:rPr>
          <w:sz w:val="22"/>
          <w:u w:val="single"/>
        </w:rPr>
      </w:pPr>
    </w:p>
    <w:p w:rsidR="00F85C0B" w:rsidRPr="00054F8F" w:rsidRDefault="00F85C0B" w:rsidP="0027147D">
      <w:pPr>
        <w:numPr>
          <w:ilvl w:val="0"/>
          <w:numId w:val="5"/>
        </w:numPr>
        <w:jc w:val="both"/>
        <w:rPr>
          <w:sz w:val="22"/>
          <w:u w:val="single"/>
        </w:rPr>
      </w:pPr>
      <w:r w:rsidRPr="00054F8F">
        <w:rPr>
          <w:sz w:val="22"/>
        </w:rPr>
        <w:t xml:space="preserve">The </w:t>
      </w:r>
      <w:r w:rsidRPr="004638D2">
        <w:rPr>
          <w:sz w:val="22"/>
          <w:u w:val="single"/>
        </w:rPr>
        <w:t>H</w:t>
      </w:r>
      <w:r w:rsidRPr="00054F8F">
        <w:rPr>
          <w:sz w:val="22"/>
          <w:u w:val="single"/>
        </w:rPr>
        <w:t>andwashing Poster</w:t>
      </w:r>
      <w:r>
        <w:rPr>
          <w:sz w:val="22"/>
          <w:u w:val="single"/>
        </w:rPr>
        <w:t xml:space="preserve"> – NHMRC</w:t>
      </w:r>
      <w:r w:rsidR="000713CD">
        <w:rPr>
          <w:sz w:val="22"/>
        </w:rPr>
        <w:t xml:space="preserve"> and </w:t>
      </w:r>
      <w:r w:rsidR="000713CD" w:rsidRPr="000713CD">
        <w:rPr>
          <w:sz w:val="22"/>
          <w:u w:val="single"/>
        </w:rPr>
        <w:t>Hand</w:t>
      </w:r>
      <w:r w:rsidR="006E0BD5">
        <w:rPr>
          <w:sz w:val="22"/>
          <w:u w:val="single"/>
        </w:rPr>
        <w:t>w</w:t>
      </w:r>
      <w:r w:rsidR="000713CD" w:rsidRPr="000713CD">
        <w:rPr>
          <w:sz w:val="22"/>
          <w:u w:val="single"/>
        </w:rPr>
        <w:t>ashing Poster – Adult</w:t>
      </w:r>
      <w:r w:rsidR="000713CD">
        <w:rPr>
          <w:sz w:val="22"/>
        </w:rPr>
        <w:t xml:space="preserve"> are</w:t>
      </w:r>
      <w:r w:rsidRPr="00054F8F">
        <w:rPr>
          <w:sz w:val="22"/>
        </w:rPr>
        <w:t xml:space="preserve"> displayed in relevant areas of the </w:t>
      </w:r>
      <w:r w:rsidR="00231468">
        <w:rPr>
          <w:sz w:val="22"/>
        </w:rPr>
        <w:t>Service</w:t>
      </w:r>
      <w:r w:rsidRPr="00054F8F">
        <w:rPr>
          <w:sz w:val="22"/>
        </w:rPr>
        <w:t>, such a</w:t>
      </w:r>
      <w:r w:rsidR="003B406D">
        <w:rPr>
          <w:sz w:val="22"/>
        </w:rPr>
        <w:t xml:space="preserve">s bathrooms </w:t>
      </w:r>
      <w:r w:rsidRPr="00054F8F">
        <w:rPr>
          <w:sz w:val="22"/>
        </w:rPr>
        <w:t>and food preparation</w:t>
      </w:r>
      <w:r>
        <w:rPr>
          <w:sz w:val="22"/>
        </w:rPr>
        <w:t xml:space="preserve"> and serving</w:t>
      </w:r>
      <w:r w:rsidRPr="00054F8F">
        <w:rPr>
          <w:sz w:val="22"/>
        </w:rPr>
        <w:t xml:space="preserve"> areas. </w:t>
      </w:r>
    </w:p>
    <w:p w:rsidR="00F85C0B" w:rsidRDefault="00F85C0B" w:rsidP="00F85C0B">
      <w:pPr>
        <w:jc w:val="both"/>
        <w:rPr>
          <w:color w:val="003366"/>
          <w:sz w:val="22"/>
        </w:rPr>
      </w:pPr>
    </w:p>
    <w:p w:rsidR="00F85C0B" w:rsidRPr="00054F8F" w:rsidRDefault="00F85C0B" w:rsidP="0027147D">
      <w:pPr>
        <w:numPr>
          <w:ilvl w:val="0"/>
          <w:numId w:val="5"/>
        </w:numPr>
        <w:jc w:val="both"/>
        <w:rPr>
          <w:sz w:val="22"/>
          <w:u w:val="single"/>
        </w:rPr>
      </w:pPr>
      <w:r w:rsidRPr="00054F8F">
        <w:rPr>
          <w:sz w:val="22"/>
        </w:rPr>
        <w:t xml:space="preserve">Handwashing posters depicting children are displayed at children’s eye level above children’s </w:t>
      </w:r>
      <w:proofErr w:type="spellStart"/>
      <w:r w:rsidRPr="00054F8F">
        <w:rPr>
          <w:sz w:val="22"/>
        </w:rPr>
        <w:t>handbasins</w:t>
      </w:r>
      <w:proofErr w:type="spellEnd"/>
      <w:r w:rsidRPr="00054F8F">
        <w:rPr>
          <w:sz w:val="22"/>
        </w:rPr>
        <w:t xml:space="preserve"> throughout the </w:t>
      </w:r>
      <w:r w:rsidR="00231468">
        <w:rPr>
          <w:sz w:val="22"/>
        </w:rPr>
        <w:t>Service</w:t>
      </w:r>
      <w:r w:rsidRPr="00054F8F">
        <w:rPr>
          <w:sz w:val="22"/>
        </w:rPr>
        <w:t xml:space="preserve">.  </w:t>
      </w:r>
    </w:p>
    <w:p w:rsidR="00F85C0B" w:rsidRPr="00A1579D" w:rsidRDefault="00F85C0B" w:rsidP="00F85C0B">
      <w:pPr>
        <w:jc w:val="both"/>
        <w:rPr>
          <w:color w:val="003366"/>
          <w:sz w:val="22"/>
        </w:rPr>
      </w:pPr>
    </w:p>
    <w:p w:rsidR="00F85C0B" w:rsidRDefault="00F85C0B" w:rsidP="0027147D">
      <w:pPr>
        <w:numPr>
          <w:ilvl w:val="0"/>
          <w:numId w:val="5"/>
        </w:numPr>
        <w:jc w:val="both"/>
        <w:rPr>
          <w:color w:val="003366"/>
          <w:sz w:val="22"/>
        </w:rPr>
      </w:pPr>
      <w:r w:rsidRPr="003A260D">
        <w:rPr>
          <w:color w:val="000000"/>
          <w:sz w:val="22"/>
        </w:rPr>
        <w:t>Educators model correct handwashing procedures to children, and intentionally teach them these procedures. They remind children to wash their hands</w:t>
      </w:r>
      <w:r>
        <w:rPr>
          <w:color w:val="000000"/>
          <w:sz w:val="22"/>
        </w:rPr>
        <w:t xml:space="preserve"> every time</w:t>
      </w:r>
      <w:r w:rsidRPr="003A260D">
        <w:rPr>
          <w:color w:val="000000"/>
          <w:sz w:val="22"/>
        </w:rPr>
        <w:t xml:space="preserve"> after toileting.</w:t>
      </w:r>
      <w:r>
        <w:rPr>
          <w:color w:val="000000"/>
          <w:sz w:val="22"/>
        </w:rPr>
        <w:t xml:space="preserve"> </w:t>
      </w:r>
    </w:p>
    <w:p w:rsidR="00F85C0B" w:rsidRDefault="00F85C0B" w:rsidP="00F85C0B">
      <w:pPr>
        <w:jc w:val="both"/>
        <w:rPr>
          <w:color w:val="003366"/>
          <w:sz w:val="22"/>
        </w:rPr>
      </w:pPr>
    </w:p>
    <w:p w:rsidR="00F85C0B" w:rsidRPr="003A260D" w:rsidRDefault="00F85C0B" w:rsidP="0027147D">
      <w:pPr>
        <w:numPr>
          <w:ilvl w:val="0"/>
          <w:numId w:val="5"/>
        </w:numPr>
        <w:jc w:val="both"/>
        <w:rPr>
          <w:color w:val="000000"/>
          <w:sz w:val="22"/>
        </w:rPr>
      </w:pPr>
      <w:r w:rsidRPr="003A260D">
        <w:rPr>
          <w:color w:val="000000"/>
          <w:sz w:val="22"/>
        </w:rPr>
        <w:t xml:space="preserve">Educators </w:t>
      </w:r>
      <w:r>
        <w:rPr>
          <w:color w:val="000000"/>
          <w:sz w:val="22"/>
        </w:rPr>
        <w:t xml:space="preserve">show/remind children how to flush the toilet. </w:t>
      </w:r>
      <w:r w:rsidRPr="003A260D">
        <w:rPr>
          <w:color w:val="000000"/>
          <w:sz w:val="22"/>
        </w:rPr>
        <w:t xml:space="preserve"> </w:t>
      </w:r>
    </w:p>
    <w:p w:rsidR="00F85C0B" w:rsidRPr="00A1579D" w:rsidRDefault="00F85C0B" w:rsidP="00F85C0B">
      <w:pPr>
        <w:ind w:left="360"/>
        <w:jc w:val="both"/>
        <w:rPr>
          <w:color w:val="003366"/>
          <w:sz w:val="22"/>
        </w:rPr>
      </w:pPr>
    </w:p>
    <w:p w:rsidR="00F85C0B" w:rsidRPr="003B406D" w:rsidRDefault="00F85C0B" w:rsidP="003B406D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Older children can access the toilet at will. Educators are alert to the signs of younger children needing toileting. </w:t>
      </w:r>
    </w:p>
    <w:p w:rsidR="00F85C0B" w:rsidRPr="00A1579D" w:rsidRDefault="00F85C0B" w:rsidP="00F85C0B">
      <w:pPr>
        <w:jc w:val="both"/>
        <w:rPr>
          <w:color w:val="003366"/>
          <w:sz w:val="22"/>
        </w:rPr>
      </w:pPr>
    </w:p>
    <w:p w:rsidR="00F85C0B" w:rsidRPr="00054F8F" w:rsidRDefault="00F85C0B" w:rsidP="0027147D">
      <w:pPr>
        <w:numPr>
          <w:ilvl w:val="0"/>
          <w:numId w:val="6"/>
        </w:numPr>
        <w:jc w:val="both"/>
        <w:rPr>
          <w:sz w:val="22"/>
        </w:rPr>
      </w:pPr>
      <w:r w:rsidRPr="00054F8F">
        <w:rPr>
          <w:sz w:val="22"/>
        </w:rPr>
        <w:t xml:space="preserve">Educators regularly check that the toilet areas are clean and ensure that </w:t>
      </w:r>
      <w:r>
        <w:rPr>
          <w:sz w:val="22"/>
        </w:rPr>
        <w:t xml:space="preserve">the dispensers have sufficient </w:t>
      </w:r>
      <w:r w:rsidRPr="00054F8F">
        <w:rPr>
          <w:sz w:val="22"/>
        </w:rPr>
        <w:t>toilet paper and soap</w:t>
      </w:r>
      <w:r>
        <w:rPr>
          <w:sz w:val="22"/>
        </w:rPr>
        <w:t xml:space="preserve">. </w:t>
      </w:r>
    </w:p>
    <w:p w:rsidR="00F85C0B" w:rsidRPr="00A1579D" w:rsidRDefault="00F85C0B" w:rsidP="00F85C0B">
      <w:pPr>
        <w:jc w:val="both"/>
        <w:rPr>
          <w:color w:val="003366"/>
          <w:sz w:val="22"/>
        </w:rPr>
      </w:pPr>
    </w:p>
    <w:p w:rsidR="00F85C0B" w:rsidRPr="003A260D" w:rsidRDefault="00F85C0B" w:rsidP="0027147D">
      <w:pPr>
        <w:numPr>
          <w:ilvl w:val="0"/>
          <w:numId w:val="6"/>
        </w:numPr>
        <w:jc w:val="both"/>
        <w:rPr>
          <w:color w:val="000000"/>
          <w:sz w:val="22"/>
        </w:rPr>
      </w:pPr>
      <w:r w:rsidRPr="003A260D">
        <w:rPr>
          <w:color w:val="000000"/>
          <w:sz w:val="22"/>
        </w:rPr>
        <w:lastRenderedPageBreak/>
        <w:t>Educators receive traini</w:t>
      </w:r>
      <w:r w:rsidR="003B406D">
        <w:rPr>
          <w:color w:val="000000"/>
          <w:sz w:val="22"/>
        </w:rPr>
        <w:t xml:space="preserve">ng in </w:t>
      </w:r>
      <w:proofErr w:type="gramStart"/>
      <w:r w:rsidR="003B406D">
        <w:rPr>
          <w:color w:val="000000"/>
          <w:sz w:val="22"/>
        </w:rPr>
        <w:t xml:space="preserve">correct </w:t>
      </w:r>
      <w:r w:rsidRPr="003A260D">
        <w:rPr>
          <w:color w:val="000000"/>
          <w:sz w:val="22"/>
        </w:rPr>
        <w:t xml:space="preserve"> toileting</w:t>
      </w:r>
      <w:proofErr w:type="gramEnd"/>
      <w:r w:rsidRPr="003A260D">
        <w:rPr>
          <w:color w:val="000000"/>
          <w:sz w:val="22"/>
        </w:rPr>
        <w:t xml:space="preserve"> procedures, and the topic is a frequent agenda item in team meetings. </w:t>
      </w:r>
    </w:p>
    <w:p w:rsidR="00F85C0B" w:rsidRPr="00A1579D" w:rsidRDefault="00F85C0B" w:rsidP="00F85C0B">
      <w:pPr>
        <w:jc w:val="both"/>
        <w:rPr>
          <w:color w:val="003366"/>
          <w:sz w:val="22"/>
        </w:rPr>
      </w:pPr>
    </w:p>
    <w:p w:rsidR="00F85C0B" w:rsidRPr="003B406D" w:rsidRDefault="00F85C0B" w:rsidP="003B406D">
      <w:pPr>
        <w:pBdr>
          <w:bottom w:val="single" w:sz="4" w:space="1" w:color="auto"/>
        </w:pBdr>
        <w:jc w:val="left"/>
        <w:rPr>
          <w:b/>
          <w:sz w:val="22"/>
        </w:rPr>
      </w:pPr>
      <w:r>
        <w:rPr>
          <w:rFonts w:cs="Arial"/>
          <w:sz w:val="22"/>
        </w:rPr>
        <w:t xml:space="preserve">  </w:t>
      </w:r>
    </w:p>
    <w:p w:rsidR="00F85C0B" w:rsidRPr="000A2EDC" w:rsidRDefault="00F85C0B" w:rsidP="00F72DDA">
      <w:pPr>
        <w:pBdr>
          <w:bottom w:val="single" w:sz="4" w:space="1" w:color="auto"/>
        </w:pBdr>
        <w:jc w:val="left"/>
        <w:rPr>
          <w:sz w:val="22"/>
        </w:rPr>
      </w:pPr>
      <w:r w:rsidRPr="000A2EDC">
        <w:rPr>
          <w:b/>
          <w:sz w:val="22"/>
        </w:rPr>
        <w:t>Responsibilities of parents</w:t>
      </w:r>
    </w:p>
    <w:p w:rsidR="00F85C0B" w:rsidRPr="000A2EDC" w:rsidRDefault="00F85C0B" w:rsidP="00F85C0B">
      <w:pPr>
        <w:rPr>
          <w:i/>
          <w:sz w:val="22"/>
        </w:rPr>
      </w:pPr>
    </w:p>
    <w:p w:rsidR="00F85C0B" w:rsidRDefault="00F85C0B" w:rsidP="0027147D">
      <w:pPr>
        <w:numPr>
          <w:ilvl w:val="0"/>
          <w:numId w:val="2"/>
        </w:numPr>
        <w:jc w:val="both"/>
        <w:rPr>
          <w:color w:val="000000"/>
          <w:sz w:val="22"/>
        </w:rPr>
      </w:pPr>
      <w:r w:rsidRPr="003A260D">
        <w:rPr>
          <w:color w:val="000000"/>
          <w:sz w:val="22"/>
        </w:rPr>
        <w:t xml:space="preserve">To supply </w:t>
      </w:r>
      <w:r>
        <w:rPr>
          <w:color w:val="000000"/>
          <w:sz w:val="22"/>
        </w:rPr>
        <w:t xml:space="preserve">the </w:t>
      </w:r>
      <w:r w:rsidR="00231468">
        <w:rPr>
          <w:color w:val="000000"/>
          <w:sz w:val="22"/>
        </w:rPr>
        <w:t>Service</w:t>
      </w:r>
      <w:r>
        <w:rPr>
          <w:color w:val="000000"/>
          <w:sz w:val="22"/>
        </w:rPr>
        <w:t xml:space="preserve"> with </w:t>
      </w:r>
      <w:r w:rsidR="003B406D">
        <w:rPr>
          <w:color w:val="000000"/>
          <w:sz w:val="22"/>
        </w:rPr>
        <w:t xml:space="preserve">sufficient </w:t>
      </w:r>
      <w:r w:rsidRPr="003A260D">
        <w:rPr>
          <w:color w:val="000000"/>
          <w:sz w:val="22"/>
        </w:rPr>
        <w:t>underwear each</w:t>
      </w:r>
      <w:r w:rsidR="003B406D">
        <w:rPr>
          <w:color w:val="000000"/>
          <w:sz w:val="22"/>
        </w:rPr>
        <w:t xml:space="preserve"> day for child</w:t>
      </w:r>
      <w:r w:rsidRPr="003A260D">
        <w:rPr>
          <w:color w:val="000000"/>
          <w:sz w:val="22"/>
        </w:rPr>
        <w:t>.</w:t>
      </w:r>
    </w:p>
    <w:p w:rsidR="00F85C0B" w:rsidRPr="003A260D" w:rsidRDefault="00F85C0B" w:rsidP="00F85C0B">
      <w:pPr>
        <w:ind w:left="360"/>
        <w:jc w:val="both"/>
        <w:rPr>
          <w:color w:val="000000"/>
          <w:sz w:val="22"/>
        </w:rPr>
      </w:pPr>
    </w:p>
    <w:p w:rsidR="00F85C0B" w:rsidRPr="003A260D" w:rsidRDefault="00F85C0B" w:rsidP="0027147D">
      <w:pPr>
        <w:numPr>
          <w:ilvl w:val="0"/>
          <w:numId w:val="2"/>
        </w:numPr>
        <w:jc w:val="both"/>
        <w:rPr>
          <w:color w:val="000000"/>
          <w:sz w:val="22"/>
        </w:rPr>
      </w:pPr>
      <w:r w:rsidRPr="003A260D">
        <w:rPr>
          <w:color w:val="000000"/>
          <w:sz w:val="22"/>
        </w:rPr>
        <w:t xml:space="preserve">To provide </w:t>
      </w:r>
      <w:r>
        <w:rPr>
          <w:color w:val="000000"/>
          <w:sz w:val="22"/>
        </w:rPr>
        <w:t xml:space="preserve">the </w:t>
      </w:r>
      <w:r w:rsidR="00231468">
        <w:rPr>
          <w:color w:val="000000"/>
          <w:sz w:val="22"/>
        </w:rPr>
        <w:t>Service</w:t>
      </w:r>
      <w:r>
        <w:rPr>
          <w:color w:val="000000"/>
          <w:sz w:val="22"/>
        </w:rPr>
        <w:t xml:space="preserve"> with </w:t>
      </w:r>
      <w:r w:rsidRPr="003A260D">
        <w:rPr>
          <w:color w:val="000000"/>
          <w:sz w:val="22"/>
        </w:rPr>
        <w:t>information about their c</w:t>
      </w:r>
      <w:r w:rsidR="003B406D">
        <w:rPr>
          <w:color w:val="000000"/>
          <w:sz w:val="22"/>
        </w:rPr>
        <w:t>hild’s toileting</w:t>
      </w:r>
      <w:r w:rsidRPr="003A260D">
        <w:rPr>
          <w:color w:val="000000"/>
          <w:sz w:val="22"/>
        </w:rPr>
        <w:t xml:space="preserve"> and routine at home to educators to ensure consistency between home and the </w:t>
      </w:r>
      <w:r w:rsidR="00231468">
        <w:rPr>
          <w:color w:val="000000"/>
          <w:sz w:val="22"/>
        </w:rPr>
        <w:t>Service</w:t>
      </w:r>
      <w:r w:rsidRPr="003A260D">
        <w:rPr>
          <w:color w:val="000000"/>
          <w:sz w:val="22"/>
        </w:rPr>
        <w:t xml:space="preserve">. </w:t>
      </w:r>
    </w:p>
    <w:p w:rsidR="00F85C0B" w:rsidRDefault="00F85C0B" w:rsidP="00F85C0B">
      <w:pPr>
        <w:pBdr>
          <w:bottom w:val="single" w:sz="4" w:space="1" w:color="auto"/>
        </w:pBdr>
        <w:rPr>
          <w:b/>
          <w:sz w:val="22"/>
        </w:rPr>
      </w:pPr>
    </w:p>
    <w:p w:rsidR="00FB761D" w:rsidRDefault="00FB761D" w:rsidP="00FB761D">
      <w:pPr>
        <w:pBdr>
          <w:bottom w:val="single" w:sz="4" w:space="1" w:color="auto"/>
        </w:pBdr>
        <w:jc w:val="both"/>
        <w:rPr>
          <w:sz w:val="22"/>
        </w:rPr>
      </w:pPr>
      <w:r>
        <w:rPr>
          <w:b/>
          <w:sz w:val="22"/>
        </w:rPr>
        <w:t xml:space="preserve">Procedure and </w:t>
      </w:r>
      <w:r w:rsidR="00BC2568">
        <w:rPr>
          <w:b/>
          <w:sz w:val="22"/>
        </w:rPr>
        <w:t>f</w:t>
      </w:r>
      <w:r>
        <w:rPr>
          <w:b/>
          <w:sz w:val="22"/>
        </w:rPr>
        <w:t>orms</w:t>
      </w:r>
    </w:p>
    <w:p w:rsidR="00FB761D" w:rsidRDefault="00FB761D" w:rsidP="00FB761D">
      <w:pPr>
        <w:jc w:val="both"/>
        <w:rPr>
          <w:i/>
          <w:color w:val="FF0000"/>
          <w:sz w:val="22"/>
        </w:rPr>
      </w:pPr>
    </w:p>
    <w:p w:rsidR="00FB761D" w:rsidRPr="00FB761D" w:rsidRDefault="00FB761D" w:rsidP="00FB76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2"/>
        </w:rPr>
      </w:pPr>
      <w:r>
        <w:rPr>
          <w:sz w:val="22"/>
        </w:rPr>
        <w:t>Handwashing Poster – Adult*</w:t>
      </w:r>
    </w:p>
    <w:p w:rsidR="00FB761D" w:rsidRPr="003B406D" w:rsidRDefault="00FB761D" w:rsidP="003B406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</w:rPr>
      </w:pPr>
      <w:r w:rsidRPr="00FB761D">
        <w:rPr>
          <w:sz w:val="22"/>
        </w:rPr>
        <w:t>Handwashing Poster – NHMRC*</w:t>
      </w:r>
      <w:bookmarkStart w:id="2" w:name="_GoBack"/>
      <w:bookmarkEnd w:id="2"/>
    </w:p>
    <w:p w:rsidR="00FB761D" w:rsidRPr="00FB761D" w:rsidRDefault="00FB761D" w:rsidP="00FB76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Toileting Procedure</w:t>
      </w:r>
    </w:p>
    <w:p w:rsidR="00FB761D" w:rsidRDefault="00FB761D" w:rsidP="00F72DDA">
      <w:pPr>
        <w:pBdr>
          <w:bottom w:val="single" w:sz="4" w:space="1" w:color="auto"/>
        </w:pBdr>
        <w:jc w:val="left"/>
        <w:rPr>
          <w:b/>
          <w:sz w:val="22"/>
        </w:rPr>
      </w:pPr>
    </w:p>
    <w:p w:rsidR="00F85C0B" w:rsidRPr="000A2EDC" w:rsidRDefault="00F85C0B" w:rsidP="00F72DDA">
      <w:pPr>
        <w:pBdr>
          <w:bottom w:val="single" w:sz="4" w:space="1" w:color="auto"/>
        </w:pBdr>
        <w:jc w:val="left"/>
        <w:rPr>
          <w:b/>
          <w:sz w:val="22"/>
        </w:rPr>
      </w:pPr>
      <w:r w:rsidRPr="000A2EDC">
        <w:rPr>
          <w:b/>
          <w:sz w:val="22"/>
        </w:rPr>
        <w:t>Links to other policies</w:t>
      </w:r>
    </w:p>
    <w:p w:rsidR="00F85C0B" w:rsidRPr="000A2EDC" w:rsidRDefault="00F85C0B" w:rsidP="00F85C0B">
      <w:pPr>
        <w:rPr>
          <w:sz w:val="22"/>
        </w:rPr>
      </w:pPr>
    </w:p>
    <w:p w:rsidR="00F85C0B" w:rsidRDefault="00F85C0B" w:rsidP="0027147D">
      <w:pPr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>Enrolment and Orientation Policy</w:t>
      </w:r>
    </w:p>
    <w:p w:rsidR="00F85C0B" w:rsidRDefault="00F85C0B" w:rsidP="0027147D">
      <w:pPr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 xml:space="preserve">Handwashing  Policy </w:t>
      </w:r>
    </w:p>
    <w:p w:rsidR="00F85C0B" w:rsidRPr="000A2EDC" w:rsidRDefault="00F85C0B" w:rsidP="0027147D">
      <w:pPr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 xml:space="preserve">Interactions with Families Policy </w:t>
      </w:r>
    </w:p>
    <w:p w:rsidR="00F85C0B" w:rsidRPr="000A2EDC" w:rsidRDefault="00F85C0B" w:rsidP="00F85C0B">
      <w:pPr>
        <w:ind w:left="360"/>
        <w:rPr>
          <w:sz w:val="22"/>
        </w:rPr>
      </w:pPr>
    </w:p>
    <w:p w:rsidR="00F85C0B" w:rsidRPr="000A2EDC" w:rsidRDefault="00F85C0B" w:rsidP="00F85C0B">
      <w:pPr>
        <w:pBdr>
          <w:bottom w:val="single" w:sz="4" w:space="1" w:color="auto"/>
        </w:pBdr>
        <w:jc w:val="both"/>
        <w:rPr>
          <w:b/>
          <w:sz w:val="22"/>
        </w:rPr>
      </w:pPr>
      <w:r w:rsidRPr="000A2EDC">
        <w:rPr>
          <w:b/>
          <w:sz w:val="22"/>
        </w:rPr>
        <w:t xml:space="preserve">Links Education and Care </w:t>
      </w:r>
      <w:r w:rsidR="00F72DDA">
        <w:rPr>
          <w:b/>
          <w:sz w:val="22"/>
        </w:rPr>
        <w:t>Services</w:t>
      </w:r>
      <w:r w:rsidRPr="000A2EDC">
        <w:rPr>
          <w:b/>
          <w:sz w:val="22"/>
        </w:rPr>
        <w:t xml:space="preserve"> National Regulations 2011, National Quality Standard 2011</w:t>
      </w:r>
    </w:p>
    <w:p w:rsidR="00F85C0B" w:rsidRPr="000A2EDC" w:rsidRDefault="00F85C0B" w:rsidP="00F85C0B">
      <w:pPr>
        <w:pStyle w:val="NoSpacing"/>
        <w:jc w:val="both"/>
        <w:rPr>
          <w:rFonts w:cs="Arial"/>
          <w:bCs/>
          <w:lang w:val="en-A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3"/>
        <w:gridCol w:w="822"/>
        <w:gridCol w:w="7361"/>
      </w:tblGrid>
      <w:tr w:rsidR="00F85C0B" w:rsidRPr="00C53A54" w:rsidTr="005E18A5">
        <w:tc>
          <w:tcPr>
            <w:tcW w:w="673" w:type="dxa"/>
          </w:tcPr>
          <w:p w:rsidR="00F85C0B" w:rsidRPr="00C53A54" w:rsidRDefault="00F85C0B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Regs</w:t>
            </w:r>
          </w:p>
        </w:tc>
        <w:tc>
          <w:tcPr>
            <w:tcW w:w="822" w:type="dxa"/>
          </w:tcPr>
          <w:p w:rsidR="00F85C0B" w:rsidRDefault="00F85C0B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109</w:t>
            </w:r>
          </w:p>
        </w:tc>
        <w:tc>
          <w:tcPr>
            <w:tcW w:w="7361" w:type="dxa"/>
          </w:tcPr>
          <w:p w:rsidR="00F85C0B" w:rsidRDefault="00F85C0B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>
              <w:rPr>
                <w:rStyle w:val="A15"/>
                <w:rFonts w:ascii="Calibri" w:hAnsi="Calibri" w:cs="Calibri"/>
                <w:sz w:val="18"/>
                <w:szCs w:val="18"/>
              </w:rPr>
              <w:t xml:space="preserve">Toilet and nappy change  </w:t>
            </w:r>
          </w:p>
        </w:tc>
      </w:tr>
      <w:tr w:rsidR="00F85C0B" w:rsidRPr="00C53A54" w:rsidTr="005E18A5">
        <w:tc>
          <w:tcPr>
            <w:tcW w:w="673" w:type="dxa"/>
          </w:tcPr>
          <w:p w:rsidR="00F85C0B" w:rsidRPr="00C53A54" w:rsidRDefault="00F85C0B" w:rsidP="005E18A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F85C0B" w:rsidRPr="00C53A54" w:rsidRDefault="00F85C0B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112</w:t>
            </w:r>
          </w:p>
        </w:tc>
        <w:tc>
          <w:tcPr>
            <w:tcW w:w="7361" w:type="dxa"/>
          </w:tcPr>
          <w:p w:rsidR="00F85C0B" w:rsidRPr="00C53A54" w:rsidRDefault="00F85C0B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>
              <w:rPr>
                <w:rStyle w:val="A15"/>
                <w:rFonts w:ascii="Calibri" w:hAnsi="Calibri" w:cs="Calibri"/>
                <w:sz w:val="18"/>
                <w:szCs w:val="18"/>
              </w:rPr>
              <w:t>Nappy change facilities</w:t>
            </w:r>
          </w:p>
        </w:tc>
      </w:tr>
      <w:tr w:rsidR="00F85C0B" w:rsidRPr="00C53A54" w:rsidTr="005E18A5">
        <w:tc>
          <w:tcPr>
            <w:tcW w:w="673" w:type="dxa"/>
          </w:tcPr>
          <w:p w:rsidR="00F85C0B" w:rsidRPr="00C53A54" w:rsidRDefault="00F85C0B" w:rsidP="005E18A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F85C0B" w:rsidRDefault="00F85C0B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115</w:t>
            </w:r>
          </w:p>
        </w:tc>
        <w:tc>
          <w:tcPr>
            <w:tcW w:w="7361" w:type="dxa"/>
          </w:tcPr>
          <w:p w:rsidR="00F85C0B" w:rsidRPr="00C53A54" w:rsidRDefault="00F85C0B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>
              <w:rPr>
                <w:rStyle w:val="A15"/>
                <w:rFonts w:ascii="Calibri" w:hAnsi="Calibri" w:cs="Calibri"/>
                <w:sz w:val="18"/>
                <w:szCs w:val="18"/>
              </w:rPr>
              <w:t>Premises designed to facilitate supervision</w:t>
            </w:r>
          </w:p>
        </w:tc>
      </w:tr>
    </w:tbl>
    <w:p w:rsidR="00F85C0B" w:rsidRPr="000A2EDC" w:rsidRDefault="00F85C0B" w:rsidP="00F85C0B">
      <w:pPr>
        <w:pStyle w:val="NoSpacing"/>
        <w:jc w:val="both"/>
        <w:rPr>
          <w:rFonts w:cs="Arial"/>
          <w:bCs/>
          <w:lang w:val="en-A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67"/>
        <w:gridCol w:w="822"/>
        <w:gridCol w:w="7367"/>
      </w:tblGrid>
      <w:tr w:rsidR="00F85C0B" w:rsidRPr="00C53A54" w:rsidTr="005E18A5">
        <w:tc>
          <w:tcPr>
            <w:tcW w:w="667" w:type="dxa"/>
          </w:tcPr>
          <w:p w:rsidR="00F85C0B" w:rsidRPr="00C53A54" w:rsidRDefault="00F85C0B" w:rsidP="005E18A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QA</w:t>
            </w:r>
          </w:p>
        </w:tc>
        <w:tc>
          <w:tcPr>
            <w:tcW w:w="822" w:type="dxa"/>
          </w:tcPr>
          <w:p w:rsidR="00F85C0B" w:rsidRDefault="00F85C0B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1.1.1</w:t>
            </w:r>
          </w:p>
        </w:tc>
        <w:tc>
          <w:tcPr>
            <w:tcW w:w="7367" w:type="dxa"/>
          </w:tcPr>
          <w:p w:rsidR="00F85C0B" w:rsidRDefault="00B60282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 w:rsidRPr="00B60282">
              <w:rPr>
                <w:rStyle w:val="A15"/>
                <w:rFonts w:ascii="Calibri" w:hAnsi="Calibri" w:cs="Calibri"/>
                <w:sz w:val="18"/>
                <w:szCs w:val="18"/>
              </w:rPr>
              <w:t>Curriculum decision-making contributes to each child’s learning and development outcomes in relation to their identity, connection with community, wellbeing, confidence as learners and effectiveness as communicators</w:t>
            </w:r>
          </w:p>
        </w:tc>
      </w:tr>
      <w:tr w:rsidR="00F85C0B" w:rsidRPr="00C53A54" w:rsidTr="005E18A5">
        <w:tc>
          <w:tcPr>
            <w:tcW w:w="667" w:type="dxa"/>
          </w:tcPr>
          <w:p w:rsidR="00F85C0B" w:rsidRDefault="00F85C0B" w:rsidP="005E18A5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F85C0B" w:rsidRDefault="00F85C0B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1.1.3</w:t>
            </w:r>
          </w:p>
        </w:tc>
        <w:tc>
          <w:tcPr>
            <w:tcW w:w="7367" w:type="dxa"/>
          </w:tcPr>
          <w:p w:rsidR="00F85C0B" w:rsidRDefault="00B60282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 w:rsidRPr="00B60282">
              <w:rPr>
                <w:rStyle w:val="A15"/>
                <w:rFonts w:ascii="Calibri" w:hAnsi="Calibri" w:cs="Calibri"/>
                <w:sz w:val="18"/>
                <w:szCs w:val="18"/>
              </w:rPr>
              <w:t>All aspects of the program, including routines, are organised in ways that maximise opportunities for each child’s learning</w:t>
            </w:r>
          </w:p>
        </w:tc>
      </w:tr>
      <w:tr w:rsidR="00F85C0B" w:rsidRPr="00C53A54" w:rsidTr="005E18A5">
        <w:tc>
          <w:tcPr>
            <w:tcW w:w="667" w:type="dxa"/>
          </w:tcPr>
          <w:p w:rsidR="00F85C0B" w:rsidRPr="00C53A54" w:rsidRDefault="00F85C0B" w:rsidP="005E18A5">
            <w:pPr>
              <w:rPr>
                <w:rFonts w:cs="Calibri"/>
                <w:sz w:val="18"/>
                <w:szCs w:val="18"/>
              </w:rPr>
            </w:pPr>
            <w:r w:rsidRPr="00C53A5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22" w:type="dxa"/>
          </w:tcPr>
          <w:p w:rsidR="00F85C0B" w:rsidRPr="00C53A54" w:rsidRDefault="00F85C0B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2.1.</w:t>
            </w:r>
            <w:r w:rsidR="008C183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7367" w:type="dxa"/>
          </w:tcPr>
          <w:p w:rsidR="00F85C0B" w:rsidRPr="00C53A54" w:rsidRDefault="008C183E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 w:rsidRPr="008C183E">
              <w:rPr>
                <w:rStyle w:val="A15"/>
                <w:rFonts w:ascii="Calibri" w:hAnsi="Calibri" w:cs="Calibri"/>
                <w:sz w:val="18"/>
                <w:szCs w:val="18"/>
              </w:rPr>
              <w:t>Each child’s wellbeing and comfort is provided for, including appropriate opportunities to meet each child’s need for sleep, rest and relaxation</w:t>
            </w:r>
            <w:r w:rsidR="00F85C0B">
              <w:rPr>
                <w:rStyle w:val="A15"/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</w:tr>
      <w:tr w:rsidR="00F85C0B" w:rsidRPr="00C53A54" w:rsidTr="005E18A5">
        <w:tc>
          <w:tcPr>
            <w:tcW w:w="667" w:type="dxa"/>
          </w:tcPr>
          <w:p w:rsidR="00F85C0B" w:rsidRPr="00C53A54" w:rsidRDefault="00F85C0B" w:rsidP="005E18A5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F85C0B" w:rsidRDefault="00F85C0B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2.1.</w:t>
            </w:r>
            <w:r w:rsidR="008C183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7367" w:type="dxa"/>
          </w:tcPr>
          <w:p w:rsidR="00F85C0B" w:rsidRDefault="008C183E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 w:rsidRPr="008C183E">
              <w:rPr>
                <w:rStyle w:val="A15"/>
                <w:rFonts w:ascii="Calibri" w:hAnsi="Calibri" w:cs="Calibri"/>
                <w:sz w:val="18"/>
                <w:szCs w:val="18"/>
              </w:rPr>
              <w:t>Healthy eating and physical activity are promoted and appropriate for each child</w:t>
            </w:r>
          </w:p>
        </w:tc>
      </w:tr>
      <w:tr w:rsidR="00F85C0B" w:rsidRPr="00C53A54" w:rsidTr="005E18A5">
        <w:tc>
          <w:tcPr>
            <w:tcW w:w="667" w:type="dxa"/>
          </w:tcPr>
          <w:p w:rsidR="00F85C0B" w:rsidRPr="00C53A54" w:rsidRDefault="00F85C0B" w:rsidP="005E18A5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F85C0B" w:rsidRDefault="00F85C0B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</w:t>
            </w:r>
            <w:r w:rsidR="008C183E">
              <w:rPr>
                <w:rFonts w:cs="Calibri"/>
                <w:sz w:val="18"/>
                <w:szCs w:val="18"/>
              </w:rPr>
              <w:t>2.1</w:t>
            </w:r>
          </w:p>
        </w:tc>
        <w:tc>
          <w:tcPr>
            <w:tcW w:w="7367" w:type="dxa"/>
          </w:tcPr>
          <w:p w:rsidR="00F85C0B" w:rsidRDefault="008C183E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 w:rsidRPr="008C183E">
              <w:rPr>
                <w:rStyle w:val="A15"/>
                <w:rFonts w:ascii="Calibri" w:hAnsi="Calibri" w:cs="Calibri"/>
                <w:sz w:val="18"/>
                <w:szCs w:val="18"/>
              </w:rPr>
              <w:t>At all times, reasonable precautions and adequate supervision ensure children are protected from harm and hazard</w:t>
            </w:r>
            <w:r>
              <w:rPr>
                <w:rStyle w:val="A15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F85C0B" w:rsidRPr="00C53A54" w:rsidTr="005E18A5">
        <w:tc>
          <w:tcPr>
            <w:tcW w:w="667" w:type="dxa"/>
          </w:tcPr>
          <w:p w:rsidR="00F85C0B" w:rsidRPr="00C53A54" w:rsidRDefault="00F85C0B" w:rsidP="005E18A5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F85C0B" w:rsidRDefault="00F85C0B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3.1.1</w:t>
            </w:r>
          </w:p>
        </w:tc>
        <w:tc>
          <w:tcPr>
            <w:tcW w:w="7367" w:type="dxa"/>
          </w:tcPr>
          <w:p w:rsidR="00F85C0B" w:rsidRDefault="008C183E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 w:rsidRPr="008C183E">
              <w:rPr>
                <w:rStyle w:val="A15"/>
                <w:rFonts w:ascii="Calibri" w:hAnsi="Calibri" w:cs="Calibri"/>
                <w:sz w:val="18"/>
                <w:szCs w:val="18"/>
              </w:rPr>
              <w:t>Outdoor and indoor spaces, buildings, fixtures and fittings are suitable for their purpose, including supporting the access of every child</w:t>
            </w:r>
          </w:p>
        </w:tc>
      </w:tr>
      <w:tr w:rsidR="00F85C0B" w:rsidRPr="00C53A54" w:rsidTr="005E18A5">
        <w:tc>
          <w:tcPr>
            <w:tcW w:w="667" w:type="dxa"/>
          </w:tcPr>
          <w:p w:rsidR="00F85C0B" w:rsidRPr="00C53A54" w:rsidRDefault="00F85C0B" w:rsidP="005E18A5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F85C0B" w:rsidRDefault="00F85C0B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3.1.</w:t>
            </w:r>
            <w:r w:rsidR="008C183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7367" w:type="dxa"/>
          </w:tcPr>
          <w:p w:rsidR="00F85C0B" w:rsidRDefault="00F85C0B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>
              <w:rPr>
                <w:rStyle w:val="A15"/>
                <w:rFonts w:ascii="Calibri" w:hAnsi="Calibri" w:cs="Calibri"/>
                <w:sz w:val="18"/>
                <w:szCs w:val="18"/>
              </w:rPr>
              <w:t xml:space="preserve">Premises, furniture and equipment are safe, clean and well maintained </w:t>
            </w:r>
          </w:p>
        </w:tc>
      </w:tr>
      <w:tr w:rsidR="00F85C0B" w:rsidRPr="00C53A54" w:rsidTr="005E18A5">
        <w:tc>
          <w:tcPr>
            <w:tcW w:w="667" w:type="dxa"/>
          </w:tcPr>
          <w:p w:rsidR="00F85C0B" w:rsidRPr="00C53A54" w:rsidRDefault="00F85C0B" w:rsidP="005E18A5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F85C0B" w:rsidRDefault="00F85C0B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4.2.</w:t>
            </w:r>
            <w:r w:rsidR="008C183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7367" w:type="dxa"/>
          </w:tcPr>
          <w:p w:rsidR="00F85C0B" w:rsidRDefault="00F85C0B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>
              <w:rPr>
                <w:rStyle w:val="A15"/>
                <w:rFonts w:ascii="Calibri" w:hAnsi="Calibri" w:cs="Calibri"/>
                <w:sz w:val="18"/>
                <w:szCs w:val="18"/>
              </w:rPr>
              <w:t>Professional standards guide practice, interactions and relationships</w:t>
            </w:r>
          </w:p>
        </w:tc>
      </w:tr>
      <w:tr w:rsidR="00F85C0B" w:rsidRPr="00C53A54" w:rsidTr="005E18A5">
        <w:tc>
          <w:tcPr>
            <w:tcW w:w="667" w:type="dxa"/>
          </w:tcPr>
          <w:p w:rsidR="00F85C0B" w:rsidRPr="00C53A54" w:rsidRDefault="00F85C0B" w:rsidP="005E18A5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22" w:type="dxa"/>
          </w:tcPr>
          <w:p w:rsidR="00F85C0B" w:rsidRDefault="00F85C0B" w:rsidP="005E18A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7.2.</w:t>
            </w:r>
            <w:r w:rsidR="008C183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7367" w:type="dxa"/>
          </w:tcPr>
          <w:p w:rsidR="00F85C0B" w:rsidRDefault="008C183E" w:rsidP="005E18A5">
            <w:pPr>
              <w:pStyle w:val="Pa7"/>
              <w:spacing w:before="40" w:after="40"/>
              <w:rPr>
                <w:rStyle w:val="A15"/>
                <w:rFonts w:ascii="Calibri" w:hAnsi="Calibri" w:cs="Calibri"/>
                <w:sz w:val="18"/>
                <w:szCs w:val="18"/>
              </w:rPr>
            </w:pPr>
            <w:r w:rsidRPr="008C183E">
              <w:rPr>
                <w:rStyle w:val="A15"/>
                <w:rFonts w:ascii="Calibri" w:hAnsi="Calibri" w:cs="Calibri"/>
                <w:sz w:val="18"/>
                <w:szCs w:val="18"/>
              </w:rPr>
              <w:t>Educators, co-ordinators and staff members’ performance is regularly evaluated, and individual plans are in place to support learning and development</w:t>
            </w:r>
          </w:p>
        </w:tc>
      </w:tr>
    </w:tbl>
    <w:p w:rsidR="00F85C0B" w:rsidRDefault="00F85C0B" w:rsidP="00F85C0B">
      <w:pPr>
        <w:pBdr>
          <w:bottom w:val="single" w:sz="4" w:space="1" w:color="auto"/>
        </w:pBdr>
        <w:rPr>
          <w:b/>
          <w:sz w:val="22"/>
        </w:rPr>
      </w:pPr>
    </w:p>
    <w:p w:rsidR="00F85C0B" w:rsidRPr="000A2EDC" w:rsidRDefault="00F85C0B" w:rsidP="00F72DDA">
      <w:pPr>
        <w:pBdr>
          <w:bottom w:val="single" w:sz="4" w:space="1" w:color="auto"/>
        </w:pBdr>
        <w:jc w:val="left"/>
        <w:rPr>
          <w:b/>
          <w:sz w:val="22"/>
        </w:rPr>
      </w:pPr>
      <w:r w:rsidRPr="000A2EDC">
        <w:rPr>
          <w:b/>
          <w:sz w:val="22"/>
        </w:rPr>
        <w:t>Sources</w:t>
      </w:r>
    </w:p>
    <w:p w:rsidR="00F85C0B" w:rsidRPr="000A2EDC" w:rsidRDefault="00F85C0B" w:rsidP="00F85C0B">
      <w:pPr>
        <w:rPr>
          <w:b/>
          <w:sz w:val="22"/>
        </w:rPr>
      </w:pPr>
    </w:p>
    <w:p w:rsidR="00F2732D" w:rsidRDefault="00F2732D" w:rsidP="00F2732D">
      <w:pPr>
        <w:numPr>
          <w:ilvl w:val="0"/>
          <w:numId w:val="4"/>
        </w:numPr>
        <w:jc w:val="both"/>
        <w:rPr>
          <w:sz w:val="22"/>
        </w:rPr>
      </w:pPr>
      <w:bookmarkStart w:id="3" w:name="_Hlk501782573"/>
      <w:r>
        <w:rPr>
          <w:sz w:val="22"/>
        </w:rPr>
        <w:t>Education and Care Services National Regulations 2011</w:t>
      </w:r>
    </w:p>
    <w:p w:rsidR="00F2732D" w:rsidRDefault="00F2732D" w:rsidP="00F2732D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lastRenderedPageBreak/>
        <w:t>Guide to the National Quality Standard 2011</w:t>
      </w:r>
    </w:p>
    <w:p w:rsidR="00F85C0B" w:rsidRPr="00437F85" w:rsidRDefault="00F85C0B" w:rsidP="0027147D">
      <w:pPr>
        <w:numPr>
          <w:ilvl w:val="0"/>
          <w:numId w:val="4"/>
        </w:numPr>
        <w:jc w:val="left"/>
        <w:rPr>
          <w:sz w:val="22"/>
          <w:u w:val="single"/>
        </w:rPr>
      </w:pPr>
      <w:r w:rsidRPr="00231468">
        <w:rPr>
          <w:sz w:val="22"/>
        </w:rPr>
        <w:t xml:space="preserve">National Health and Medical Research Council. (n.d.).   </w:t>
      </w:r>
      <w:r w:rsidRPr="00231468">
        <w:rPr>
          <w:i/>
          <w:sz w:val="22"/>
        </w:rPr>
        <w:t xml:space="preserve">Changing a nappy without spreading germs. </w:t>
      </w:r>
      <w:hyperlink r:id="rId8" w:history="1">
        <w:r w:rsidRPr="00437F85">
          <w:rPr>
            <w:rStyle w:val="Hyperlink"/>
            <w:color w:val="auto"/>
            <w:sz w:val="22"/>
          </w:rPr>
          <w:t>http://www.nhmrc.gov.au/_files_nhmrc/publications/attachments/ch43poster2.pdf</w:t>
        </w:r>
      </w:hyperlink>
    </w:p>
    <w:p w:rsidR="00F85C0B" w:rsidRPr="00231468" w:rsidRDefault="00F85C0B" w:rsidP="00F72DDA">
      <w:pPr>
        <w:ind w:left="360" w:firstLine="360"/>
        <w:jc w:val="both"/>
        <w:rPr>
          <w:sz w:val="22"/>
        </w:rPr>
      </w:pPr>
      <w:r w:rsidRPr="00231468">
        <w:rPr>
          <w:sz w:val="22"/>
        </w:rPr>
        <w:t xml:space="preserve">accessed </w:t>
      </w:r>
      <w:r w:rsidR="007E5D8F">
        <w:rPr>
          <w:sz w:val="22"/>
        </w:rPr>
        <w:t>23 December 2017</w:t>
      </w:r>
      <w:r w:rsidRPr="00231468">
        <w:rPr>
          <w:sz w:val="22"/>
        </w:rPr>
        <w:t xml:space="preserve"> </w:t>
      </w:r>
    </w:p>
    <w:p w:rsidR="00F85C0B" w:rsidRPr="00231468" w:rsidRDefault="00F85C0B" w:rsidP="00231468">
      <w:pPr>
        <w:numPr>
          <w:ilvl w:val="0"/>
          <w:numId w:val="7"/>
        </w:numPr>
        <w:jc w:val="left"/>
        <w:rPr>
          <w:b/>
          <w:sz w:val="22"/>
        </w:rPr>
      </w:pPr>
      <w:r w:rsidRPr="00231468">
        <w:rPr>
          <w:sz w:val="22"/>
        </w:rPr>
        <w:t xml:space="preserve">National Health and Medical Research Council. (n.d.).  </w:t>
      </w:r>
      <w:r w:rsidRPr="00231468">
        <w:rPr>
          <w:i/>
          <w:sz w:val="22"/>
        </w:rPr>
        <w:t>Handwashing</w:t>
      </w:r>
      <w:r w:rsidRPr="00231468">
        <w:rPr>
          <w:b/>
          <w:sz w:val="22"/>
        </w:rPr>
        <w:t xml:space="preserve">. </w:t>
      </w:r>
      <w:hyperlink r:id="rId9" w:history="1">
        <w:r w:rsidR="00231468" w:rsidRPr="00437F85">
          <w:rPr>
            <w:rStyle w:val="Hyperlink"/>
            <w:color w:val="auto"/>
            <w:sz w:val="22"/>
          </w:rPr>
          <w:t>http://www.nhmrc.gov.au/_files_nhmrc/publications/attachments/ch43poster1.pdf</w:t>
        </w:r>
      </w:hyperlink>
      <w:r w:rsidR="00231468" w:rsidRPr="00231468">
        <w:rPr>
          <w:sz w:val="22"/>
        </w:rPr>
        <w:t xml:space="preserve"> </w:t>
      </w:r>
      <w:r w:rsidRPr="00231468">
        <w:rPr>
          <w:sz w:val="22"/>
        </w:rPr>
        <w:t xml:space="preserve">accessed </w:t>
      </w:r>
      <w:r w:rsidR="009E6CCE">
        <w:rPr>
          <w:sz w:val="22"/>
        </w:rPr>
        <w:t>2</w:t>
      </w:r>
      <w:r w:rsidR="007E5D8F">
        <w:rPr>
          <w:sz w:val="22"/>
        </w:rPr>
        <w:t>3 December 2017</w:t>
      </w:r>
    </w:p>
    <w:bookmarkEnd w:id="3"/>
    <w:p w:rsidR="00F85C0B" w:rsidRPr="009F063F" w:rsidRDefault="00F85C0B" w:rsidP="00F85C0B">
      <w:pPr>
        <w:rPr>
          <w:b/>
          <w:sz w:val="22"/>
        </w:rPr>
      </w:pPr>
    </w:p>
    <w:p w:rsidR="000012E2" w:rsidRPr="000A2EDC" w:rsidRDefault="000012E2" w:rsidP="000012E2">
      <w:pPr>
        <w:pBdr>
          <w:bottom w:val="single" w:sz="4" w:space="1" w:color="auto"/>
        </w:pBdr>
        <w:jc w:val="left"/>
        <w:rPr>
          <w:b/>
          <w:sz w:val="22"/>
        </w:rPr>
      </w:pPr>
      <w:r>
        <w:rPr>
          <w:b/>
          <w:sz w:val="22"/>
        </w:rPr>
        <w:t>F</w:t>
      </w:r>
      <w:r w:rsidRPr="000A2EDC">
        <w:rPr>
          <w:b/>
          <w:sz w:val="22"/>
        </w:rPr>
        <w:t>urther reading and useful websites</w:t>
      </w:r>
    </w:p>
    <w:p w:rsidR="00F85C0B" w:rsidRPr="008F4D06" w:rsidRDefault="00F85C0B" w:rsidP="00F72DDA">
      <w:pPr>
        <w:jc w:val="left"/>
        <w:rPr>
          <w:b/>
          <w:sz w:val="22"/>
        </w:rPr>
      </w:pPr>
    </w:p>
    <w:p w:rsidR="00F85C0B" w:rsidRPr="008F4D06" w:rsidRDefault="00F85C0B" w:rsidP="00BF3CC0">
      <w:pPr>
        <w:numPr>
          <w:ilvl w:val="0"/>
          <w:numId w:val="4"/>
        </w:numPr>
        <w:jc w:val="left"/>
        <w:rPr>
          <w:sz w:val="22"/>
        </w:rPr>
      </w:pPr>
      <w:bookmarkStart w:id="4" w:name="_Hlk501782597"/>
      <w:r w:rsidRPr="008F4D06">
        <w:rPr>
          <w:sz w:val="22"/>
        </w:rPr>
        <w:t xml:space="preserve">Mundy, L. (2010).  </w:t>
      </w:r>
      <w:r w:rsidRPr="008F4D06">
        <w:rPr>
          <w:i/>
          <w:sz w:val="22"/>
        </w:rPr>
        <w:t>Toilet Training</w:t>
      </w:r>
      <w:r w:rsidR="00BF3CC0" w:rsidRPr="008F4D06">
        <w:rPr>
          <w:i/>
          <w:sz w:val="22"/>
        </w:rPr>
        <w:t xml:space="preserve"> </w:t>
      </w:r>
      <w:hyperlink r:id="rId10" w:history="1">
        <w:r w:rsidR="00BF3CC0" w:rsidRPr="008F4D06">
          <w:rPr>
            <w:rStyle w:val="Hyperlink"/>
            <w:color w:val="auto"/>
            <w:sz w:val="22"/>
          </w:rPr>
          <w:t xml:space="preserve">http://ncac.acecqa.gov.au/family-resources/factsheets/Toilet_training.pdf </w:t>
        </w:r>
      </w:hyperlink>
      <w:r w:rsidRPr="008F4D06">
        <w:rPr>
          <w:sz w:val="22"/>
          <w:u w:val="single"/>
        </w:rPr>
        <w:t xml:space="preserve"> </w:t>
      </w:r>
      <w:r w:rsidRPr="008F4D06">
        <w:rPr>
          <w:sz w:val="22"/>
        </w:rPr>
        <w:t xml:space="preserve">accessed </w:t>
      </w:r>
      <w:r w:rsidR="007E5D8F">
        <w:rPr>
          <w:sz w:val="22"/>
        </w:rPr>
        <w:t>23 December 2017</w:t>
      </w:r>
    </w:p>
    <w:p w:rsidR="00F85C0B" w:rsidRPr="008F4D06" w:rsidRDefault="00F85C0B" w:rsidP="0027147D">
      <w:pPr>
        <w:numPr>
          <w:ilvl w:val="0"/>
          <w:numId w:val="4"/>
        </w:numPr>
        <w:jc w:val="left"/>
        <w:rPr>
          <w:sz w:val="22"/>
        </w:rPr>
      </w:pPr>
      <w:r w:rsidRPr="008F4D06">
        <w:rPr>
          <w:sz w:val="22"/>
        </w:rPr>
        <w:t xml:space="preserve">NCAC. (2010). </w:t>
      </w:r>
      <w:r w:rsidRPr="008F4D06">
        <w:rPr>
          <w:i/>
          <w:sz w:val="22"/>
        </w:rPr>
        <w:t>Factsheet for Families: Toilet Training in Childcare</w:t>
      </w:r>
      <w:r w:rsidRPr="008F4D06">
        <w:rPr>
          <w:sz w:val="22"/>
        </w:rPr>
        <w:t xml:space="preserve">. </w:t>
      </w:r>
      <w:hyperlink r:id="rId11" w:history="1">
        <w:r w:rsidRPr="008F4D06">
          <w:rPr>
            <w:rStyle w:val="Hyperlink"/>
            <w:color w:val="auto"/>
            <w:sz w:val="22"/>
          </w:rPr>
          <w:t>http://ncac.acecqa.gov.au/educator-resources/pcf-articles/FF_Toilet_training_in_childcare_Sept10.pdf</w:t>
        </w:r>
      </w:hyperlink>
      <w:r w:rsidRPr="008F4D06">
        <w:rPr>
          <w:sz w:val="22"/>
        </w:rPr>
        <w:t xml:space="preserve"> accessed </w:t>
      </w:r>
      <w:r w:rsidR="007E5D8F">
        <w:rPr>
          <w:sz w:val="22"/>
        </w:rPr>
        <w:t>23 December 2017</w:t>
      </w:r>
    </w:p>
    <w:p w:rsidR="00F85C0B" w:rsidRPr="008F4D06" w:rsidRDefault="00F85C0B" w:rsidP="0027147D">
      <w:pPr>
        <w:numPr>
          <w:ilvl w:val="0"/>
          <w:numId w:val="4"/>
        </w:numPr>
        <w:jc w:val="left"/>
        <w:rPr>
          <w:sz w:val="22"/>
        </w:rPr>
      </w:pPr>
      <w:r w:rsidRPr="008F4D06">
        <w:rPr>
          <w:sz w:val="22"/>
        </w:rPr>
        <w:t xml:space="preserve">NCAC. </w:t>
      </w:r>
      <w:r w:rsidRPr="008F4D06">
        <w:rPr>
          <w:i/>
          <w:sz w:val="22"/>
        </w:rPr>
        <w:t>A matter of respect: Recognising young children’s right to privacy</w:t>
      </w:r>
      <w:r w:rsidRPr="008F4D06">
        <w:rPr>
          <w:sz w:val="22"/>
        </w:rPr>
        <w:t xml:space="preserve">. </w:t>
      </w:r>
      <w:hyperlink r:id="rId12" w:history="1">
        <w:r w:rsidRPr="008F4D06">
          <w:rPr>
            <w:rStyle w:val="Hyperlink"/>
            <w:color w:val="auto"/>
            <w:sz w:val="22"/>
          </w:rPr>
          <w:t>http://ncac.acecqa.gov.au/educator-resources/pcf-articles/Recognising_chns_right_to_privacy_Sept10.pdf</w:t>
        </w:r>
      </w:hyperlink>
      <w:r w:rsidRPr="008F4D06">
        <w:rPr>
          <w:sz w:val="22"/>
        </w:rPr>
        <w:t xml:space="preserve"> accessed</w:t>
      </w:r>
      <w:r w:rsidR="009E6CCE" w:rsidRPr="008F4D06">
        <w:rPr>
          <w:sz w:val="22"/>
        </w:rPr>
        <w:t xml:space="preserve"> </w:t>
      </w:r>
      <w:r w:rsidR="007E5D8F">
        <w:rPr>
          <w:sz w:val="22"/>
        </w:rPr>
        <w:t>23 December 2017</w:t>
      </w:r>
    </w:p>
    <w:bookmarkEnd w:id="4"/>
    <w:p w:rsidR="00F85C0B" w:rsidRPr="00BB2D63" w:rsidRDefault="00F85C0B" w:rsidP="009E6CCE">
      <w:pPr>
        <w:numPr>
          <w:ilvl w:val="0"/>
          <w:numId w:val="4"/>
        </w:numPr>
        <w:jc w:val="left"/>
        <w:rPr>
          <w:sz w:val="22"/>
          <w:highlight w:val="yellow"/>
          <w:u w:val="single"/>
        </w:rPr>
      </w:pPr>
      <w:r w:rsidRPr="00BB2D63">
        <w:rPr>
          <w:sz w:val="22"/>
          <w:highlight w:val="yellow"/>
        </w:rPr>
        <w:t xml:space="preserve">Queensland Health – </w:t>
      </w:r>
      <w:hyperlink r:id="rId13" w:history="1">
        <w:r w:rsidR="009E6CCE" w:rsidRPr="00BB2D63">
          <w:rPr>
            <w:rStyle w:val="Hyperlink"/>
            <w:color w:val="auto"/>
            <w:sz w:val="22"/>
            <w:highlight w:val="yellow"/>
          </w:rPr>
          <w:t>http://www.health.qld.gov.au/</w:t>
        </w:r>
      </w:hyperlink>
      <w:r w:rsidR="009E6CCE" w:rsidRPr="00BB2D63">
        <w:rPr>
          <w:sz w:val="22"/>
          <w:highlight w:val="yellow"/>
        </w:rPr>
        <w:t xml:space="preserve"> </w:t>
      </w:r>
      <w:r w:rsidR="002C6763" w:rsidRPr="00BB2D63">
        <w:rPr>
          <w:sz w:val="22"/>
          <w:highlight w:val="yellow"/>
        </w:rPr>
        <w:t xml:space="preserve">accessed </w:t>
      </w:r>
      <w:r w:rsidR="007E5D8F">
        <w:rPr>
          <w:sz w:val="22"/>
          <w:highlight w:val="yellow"/>
        </w:rPr>
        <w:t xml:space="preserve">23 December </w:t>
      </w:r>
      <w:r w:rsidR="002C6763" w:rsidRPr="00BB2D63">
        <w:rPr>
          <w:sz w:val="22"/>
          <w:highlight w:val="yellow"/>
        </w:rPr>
        <w:t>201</w:t>
      </w:r>
      <w:r w:rsidR="007E5D8F">
        <w:rPr>
          <w:sz w:val="22"/>
          <w:highlight w:val="yellow"/>
        </w:rPr>
        <w:t>7</w:t>
      </w:r>
    </w:p>
    <w:p w:rsidR="00F85C0B" w:rsidRPr="00BB2D63" w:rsidRDefault="00F85C0B" w:rsidP="009E6CCE">
      <w:pPr>
        <w:numPr>
          <w:ilvl w:val="0"/>
          <w:numId w:val="4"/>
        </w:numPr>
        <w:jc w:val="left"/>
        <w:rPr>
          <w:sz w:val="22"/>
          <w:highlight w:val="yellow"/>
        </w:rPr>
      </w:pPr>
      <w:r w:rsidRPr="00BB2D63">
        <w:rPr>
          <w:sz w:val="22"/>
          <w:highlight w:val="yellow"/>
        </w:rPr>
        <w:t xml:space="preserve">The </w:t>
      </w:r>
      <w:r w:rsidRPr="00BB2D63">
        <w:rPr>
          <w:rFonts w:cs="Calibri"/>
          <w:sz w:val="22"/>
          <w:highlight w:val="yellow"/>
        </w:rPr>
        <w:t xml:space="preserve"> Royal Children’s Hospital – </w:t>
      </w:r>
      <w:hyperlink r:id="rId14" w:history="1">
        <w:r w:rsidR="009E6CCE" w:rsidRPr="00BB2D63">
          <w:rPr>
            <w:rStyle w:val="Hyperlink"/>
            <w:rFonts w:cs="Calibri"/>
            <w:color w:val="auto"/>
            <w:sz w:val="22"/>
            <w:highlight w:val="yellow"/>
          </w:rPr>
          <w:t>http://www.rch.org.au/home/</w:t>
        </w:r>
      </w:hyperlink>
      <w:r w:rsidR="009E6CCE" w:rsidRPr="00BB2D63">
        <w:rPr>
          <w:rFonts w:cs="Calibri"/>
          <w:sz w:val="22"/>
          <w:highlight w:val="yellow"/>
        </w:rPr>
        <w:t xml:space="preserve"> </w:t>
      </w:r>
      <w:r w:rsidR="002C6763" w:rsidRPr="00BB2D63">
        <w:rPr>
          <w:rFonts w:cs="Calibri"/>
          <w:sz w:val="22"/>
          <w:highlight w:val="yellow"/>
        </w:rPr>
        <w:t xml:space="preserve">accessed </w:t>
      </w:r>
      <w:r w:rsidR="007E5D8F">
        <w:rPr>
          <w:rFonts w:cs="Calibri"/>
          <w:sz w:val="22"/>
          <w:highlight w:val="yellow"/>
        </w:rPr>
        <w:t>23 December 2017</w:t>
      </w:r>
    </w:p>
    <w:p w:rsidR="00F85C0B" w:rsidRPr="009F063F" w:rsidRDefault="00F85C0B" w:rsidP="00F85C0B">
      <w:pPr>
        <w:pBdr>
          <w:bottom w:val="single" w:sz="4" w:space="1" w:color="auto"/>
        </w:pBdr>
        <w:rPr>
          <w:b/>
          <w:sz w:val="22"/>
        </w:rPr>
      </w:pPr>
    </w:p>
    <w:p w:rsidR="00F85C0B" w:rsidRPr="000A2EDC" w:rsidRDefault="00F85C0B" w:rsidP="00F72DDA">
      <w:pPr>
        <w:pBdr>
          <w:bottom w:val="single" w:sz="4" w:space="1" w:color="auto"/>
        </w:pBdr>
        <w:jc w:val="left"/>
        <w:rPr>
          <w:b/>
          <w:sz w:val="22"/>
        </w:rPr>
      </w:pPr>
      <w:r w:rsidRPr="000A2EDC">
        <w:rPr>
          <w:b/>
          <w:sz w:val="22"/>
        </w:rPr>
        <w:t>Policy review</w:t>
      </w:r>
    </w:p>
    <w:p w:rsidR="00F85C0B" w:rsidRPr="000A2EDC" w:rsidRDefault="00F85C0B" w:rsidP="00F85C0B">
      <w:pPr>
        <w:rPr>
          <w:sz w:val="22"/>
        </w:rPr>
      </w:pPr>
    </w:p>
    <w:p w:rsidR="00F85C0B" w:rsidRPr="000A2EDC" w:rsidRDefault="00F85C0B" w:rsidP="00F85C0B">
      <w:pPr>
        <w:jc w:val="both"/>
        <w:rPr>
          <w:sz w:val="22"/>
        </w:rPr>
      </w:pPr>
      <w:r w:rsidRPr="000A2EDC">
        <w:rPr>
          <w:sz w:val="22"/>
        </w:rPr>
        <w:t xml:space="preserve">The </w:t>
      </w:r>
      <w:r w:rsidR="00231468">
        <w:rPr>
          <w:sz w:val="22"/>
        </w:rPr>
        <w:t>Service</w:t>
      </w:r>
      <w:r w:rsidRPr="000A2EDC">
        <w:rPr>
          <w:sz w:val="22"/>
        </w:rPr>
        <w:t xml:space="preserve"> encourages staff and parents to be actively involved in the annual review of each of its policies and procedures. In addition, the </w:t>
      </w:r>
      <w:r w:rsidR="00231468">
        <w:rPr>
          <w:sz w:val="22"/>
        </w:rPr>
        <w:t>Service</w:t>
      </w:r>
      <w:r w:rsidRPr="000A2EDC">
        <w:rPr>
          <w:sz w:val="22"/>
        </w:rPr>
        <w:t xml:space="preserve"> will accommodate any new legislative changes as they occur and any issues identified as part the </w:t>
      </w:r>
      <w:r w:rsidR="00231468">
        <w:rPr>
          <w:sz w:val="22"/>
        </w:rPr>
        <w:t>Service</w:t>
      </w:r>
      <w:r w:rsidRPr="000A2EDC">
        <w:rPr>
          <w:sz w:val="22"/>
        </w:rPr>
        <w:t xml:space="preserve">’s commitment to quality improvement. The </w:t>
      </w:r>
      <w:r w:rsidR="00231468">
        <w:rPr>
          <w:sz w:val="22"/>
        </w:rPr>
        <w:t>Service</w:t>
      </w:r>
      <w:r w:rsidRPr="000A2EDC">
        <w:rPr>
          <w:sz w:val="22"/>
        </w:rPr>
        <w:t xml:space="preserve"> consults with relevant recognised authorities as part of the annual review to ensure the policy contents are consistent with current research and contemporary views on best practice. </w:t>
      </w:r>
    </w:p>
    <w:p w:rsidR="00F85C0B" w:rsidRPr="000A2EDC" w:rsidRDefault="00F85C0B" w:rsidP="00F85C0B">
      <w:pPr>
        <w:rPr>
          <w:b/>
          <w:sz w:val="22"/>
        </w:rPr>
      </w:pPr>
    </w:p>
    <w:bookmarkEnd w:id="0"/>
    <w:p w:rsidR="00235A0E" w:rsidRDefault="00235A0E" w:rsidP="00235A0E">
      <w:pPr>
        <w:pBdr>
          <w:bottom w:val="single" w:sz="4" w:space="1" w:color="auto"/>
        </w:pBdr>
        <w:jc w:val="left"/>
        <w:rPr>
          <w:b/>
          <w:sz w:val="22"/>
        </w:rPr>
      </w:pPr>
      <w:r>
        <w:rPr>
          <w:b/>
          <w:sz w:val="22"/>
        </w:rPr>
        <w:t>Version Control</w:t>
      </w:r>
    </w:p>
    <w:p w:rsidR="00235A0E" w:rsidRDefault="00235A0E" w:rsidP="00235A0E">
      <w:pPr>
        <w:jc w:val="lef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1658"/>
        <w:gridCol w:w="2228"/>
        <w:gridCol w:w="2756"/>
        <w:gridCol w:w="1775"/>
      </w:tblGrid>
      <w:tr w:rsidR="00B4299C" w:rsidTr="00B4299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9C" w:rsidRDefault="00B4299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Version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9C" w:rsidRDefault="00B4299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Reviewed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9C" w:rsidRDefault="00B4299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Approved By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9C" w:rsidRDefault="00B4299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Comments/Amendments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9C" w:rsidRDefault="00B4299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Next Review Date</w:t>
            </w:r>
          </w:p>
        </w:tc>
      </w:tr>
      <w:tr w:rsidR="00B4299C" w:rsidTr="00B4299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C" w:rsidRDefault="00B4299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C" w:rsidRDefault="00B4299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January 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C" w:rsidRDefault="00B4299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Brenda Abbey (Author)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C" w:rsidRDefault="00B4299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Updated to changed NQF requirements 1 February 2018. </w:t>
            </w:r>
          </w:p>
          <w:p w:rsidR="00B4299C" w:rsidRDefault="00B4299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Service to modify policies to its specific needs.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C" w:rsidRDefault="00B4299C">
            <w:pPr>
              <w:jc w:val="left"/>
              <w:rPr>
                <w:sz w:val="18"/>
                <w:szCs w:val="18"/>
              </w:rPr>
            </w:pPr>
          </w:p>
        </w:tc>
      </w:tr>
    </w:tbl>
    <w:p w:rsidR="005633F1" w:rsidRPr="00F85C0B" w:rsidRDefault="005633F1" w:rsidP="00A61FD6">
      <w:pPr>
        <w:jc w:val="left"/>
      </w:pPr>
    </w:p>
    <w:sectPr w:rsidR="005633F1" w:rsidRPr="00F85C0B" w:rsidSect="004068A2">
      <w:headerReference w:type="default" r:id="rId15"/>
      <w:footerReference w:type="default" r:id="rId16"/>
      <w:pgSz w:w="11906" w:h="16838"/>
      <w:pgMar w:top="1701" w:right="1274" w:bottom="1134" w:left="1276" w:header="113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36" w:rsidRDefault="005E7E36" w:rsidP="00FC7AF1">
      <w:r>
        <w:separator/>
      </w:r>
    </w:p>
  </w:endnote>
  <w:endnote w:type="continuationSeparator" w:id="0">
    <w:p w:rsidR="005E7E36" w:rsidRDefault="005E7E36" w:rsidP="00F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ta Plus Norm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F1" w:rsidRDefault="00C61326" w:rsidP="002D21DF">
    <w:pPr>
      <w:pStyle w:val="Footer"/>
      <w:ind w:left="-1276" w:right="282"/>
      <w:jc w:val="left"/>
    </w:pPr>
    <w:r>
      <w:rPr>
        <w:noProof/>
        <w:lang w:val="en-US"/>
      </w:rPr>
      <w:ptab w:relativeTo="margin" w:alignment="left" w:leader="none"/>
    </w:r>
  </w:p>
  <w:tbl>
    <w:tblPr>
      <w:tblStyle w:val="TableGrid"/>
      <w:tblW w:w="1101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  <w:gridCol w:w="3923"/>
    </w:tblGrid>
    <w:tr w:rsidR="00D16E5E" w:rsidTr="002B6E45">
      <w:trPr>
        <w:trHeight w:val="583"/>
      </w:trPr>
      <w:tc>
        <w:tcPr>
          <w:tcW w:w="7089" w:type="dxa"/>
          <w:shd w:val="clear" w:color="auto" w:fill="808080" w:themeFill="background1" w:themeFillShade="80"/>
        </w:tcPr>
        <w:p w:rsidR="00D16E5E" w:rsidRDefault="00D16E5E" w:rsidP="002B6E45">
          <w:pPr>
            <w:pStyle w:val="Footer"/>
            <w:ind w:right="282"/>
            <w:jc w:val="left"/>
            <w:rPr>
              <w:noProof/>
              <w:color w:val="FFFFFF" w:themeColor="background1"/>
              <w:sz w:val="18"/>
              <w:szCs w:val="18"/>
              <w:lang w:val="en-US"/>
            </w:rPr>
          </w:pPr>
          <w:r>
            <w:rPr>
              <w:noProof/>
              <w:color w:val="FFFFFF" w:themeColor="background1"/>
              <w:sz w:val="18"/>
              <w:szCs w:val="18"/>
              <w:lang w:val="en-US"/>
            </w:rPr>
            <w:t>Copyright © Dr Brenda Abbey (Childcare by Design</w:t>
          </w:r>
          <w:r w:rsidR="00301389">
            <w:rPr>
              <w:noProof/>
              <w:color w:val="FFFFFF" w:themeColor="background1"/>
              <w:sz w:val="18"/>
              <w:szCs w:val="18"/>
              <w:lang w:val="en-US"/>
            </w:rPr>
            <w:t xml:space="preserve"> Pty Ltd</w:t>
          </w:r>
          <w:r>
            <w:rPr>
              <w:noProof/>
              <w:color w:val="FFFFFF" w:themeColor="background1"/>
              <w:sz w:val="18"/>
              <w:szCs w:val="18"/>
              <w:lang w:val="en-US"/>
            </w:rPr>
            <w:t>) 2012.</w:t>
          </w:r>
          <w:r w:rsidR="00A61FD6">
            <w:rPr>
              <w:noProof/>
              <w:color w:val="FFFFFF" w:themeColor="background1"/>
              <w:sz w:val="18"/>
              <w:szCs w:val="18"/>
              <w:lang w:val="en-US"/>
            </w:rPr>
            <w:t xml:space="preserve">JUpdated 2018. </w:t>
          </w:r>
        </w:p>
        <w:p w:rsidR="00D16E5E" w:rsidRPr="005F4CC1" w:rsidRDefault="00D16E5E" w:rsidP="002B6E45">
          <w:pPr>
            <w:pStyle w:val="Footer"/>
            <w:ind w:right="282"/>
            <w:jc w:val="left"/>
            <w:rPr>
              <w:noProof/>
              <w:color w:val="FFFFFF" w:themeColor="background1"/>
              <w:sz w:val="18"/>
              <w:szCs w:val="18"/>
              <w:lang w:val="en-US"/>
            </w:rPr>
          </w:pPr>
          <w:r>
            <w:rPr>
              <w:noProof/>
              <w:color w:val="FFFFFF" w:themeColor="background1"/>
              <w:sz w:val="18"/>
              <w:szCs w:val="18"/>
              <w:lang w:val="en-US"/>
            </w:rPr>
            <w:t>May be reproduced and adapted with permission but the author must be acknowledged.</w:t>
          </w:r>
        </w:p>
      </w:tc>
      <w:tc>
        <w:tcPr>
          <w:tcW w:w="3923" w:type="dxa"/>
          <w:shd w:val="clear" w:color="auto" w:fill="808080" w:themeFill="background1" w:themeFillShade="80"/>
        </w:tcPr>
        <w:p w:rsidR="00D16E5E" w:rsidRPr="00B03206" w:rsidRDefault="00D16E5E" w:rsidP="00D16E5E">
          <w:pPr>
            <w:pStyle w:val="Footer"/>
            <w:ind w:right="282"/>
            <w:jc w:val="right"/>
            <w:rPr>
              <w:noProof/>
              <w:sz w:val="20"/>
              <w:szCs w:val="20"/>
              <w:lang w:val="en-US"/>
            </w:rPr>
          </w:pPr>
          <w:r>
            <w:rPr>
              <w:color w:val="FFFFFF" w:themeColor="background1"/>
              <w:sz w:val="20"/>
              <w:szCs w:val="20"/>
            </w:rPr>
            <w:t xml:space="preserve"> </w:t>
          </w:r>
          <w:r w:rsidRPr="00B03206">
            <w:rPr>
              <w:color w:val="FFFFFF" w:themeColor="background1"/>
              <w:sz w:val="20"/>
              <w:szCs w:val="20"/>
            </w:rPr>
            <w:t>QA</w:t>
          </w:r>
          <w:r w:rsidRPr="00B03206">
            <w:rPr>
              <w:color w:val="FFFFFF" w:themeColor="background1"/>
              <w:sz w:val="24"/>
              <w:szCs w:val="24"/>
            </w:rPr>
            <w:t>1</w:t>
          </w:r>
          <w:r w:rsidRPr="00B03206">
            <w:rPr>
              <w:color w:val="FFFFFF" w:themeColor="background1"/>
              <w:sz w:val="20"/>
              <w:szCs w:val="20"/>
            </w:rPr>
            <w:t xml:space="preserve"> QA</w:t>
          </w:r>
          <w:r w:rsidRPr="00B03206">
            <w:rPr>
              <w:color w:val="FFFFFF" w:themeColor="background1"/>
              <w:sz w:val="24"/>
              <w:szCs w:val="24"/>
            </w:rPr>
            <w:t xml:space="preserve">3 </w:t>
          </w:r>
          <w:r w:rsidRPr="00B03206">
            <w:rPr>
              <w:color w:val="FFFFFF" w:themeColor="background1"/>
              <w:sz w:val="20"/>
              <w:szCs w:val="20"/>
            </w:rPr>
            <w:t>QA</w:t>
          </w:r>
          <w:r w:rsidRPr="00B03206">
            <w:rPr>
              <w:color w:val="FFFFFF" w:themeColor="background1"/>
              <w:sz w:val="24"/>
              <w:szCs w:val="24"/>
            </w:rPr>
            <w:t>4</w:t>
          </w:r>
          <w:r w:rsidRPr="00B03206">
            <w:rPr>
              <w:color w:val="FFFFFF" w:themeColor="background1"/>
              <w:sz w:val="20"/>
              <w:szCs w:val="20"/>
            </w:rPr>
            <w:t xml:space="preserve"> QA</w:t>
          </w:r>
          <w:r w:rsidRPr="00B03206">
            <w:rPr>
              <w:color w:val="FFFFFF" w:themeColor="background1"/>
              <w:sz w:val="24"/>
              <w:szCs w:val="24"/>
            </w:rPr>
            <w:t>5</w:t>
          </w:r>
          <w:r w:rsidRPr="00B03206">
            <w:rPr>
              <w:color w:val="FFFFFF" w:themeColor="background1"/>
              <w:sz w:val="20"/>
              <w:szCs w:val="20"/>
            </w:rPr>
            <w:t xml:space="preserve"> QA</w:t>
          </w:r>
          <w:r w:rsidRPr="00B03206">
            <w:rPr>
              <w:color w:val="FFFFFF" w:themeColor="background1"/>
              <w:sz w:val="24"/>
              <w:szCs w:val="24"/>
            </w:rPr>
            <w:t>7</w:t>
          </w:r>
        </w:p>
      </w:tc>
    </w:tr>
  </w:tbl>
  <w:p w:rsidR="00FC7AF1" w:rsidRDefault="00FC7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36" w:rsidRDefault="005E7E36" w:rsidP="00FC7AF1">
      <w:r>
        <w:separator/>
      </w:r>
    </w:p>
  </w:footnote>
  <w:footnote w:type="continuationSeparator" w:id="0">
    <w:p w:rsidR="005E7E36" w:rsidRDefault="005E7E36" w:rsidP="00FC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F1" w:rsidRPr="005B4921" w:rsidRDefault="005B4921" w:rsidP="005B4921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D4D46B" wp14:editId="18E5F912">
              <wp:simplePos x="0" y="0"/>
              <wp:positionH relativeFrom="column">
                <wp:posOffset>-695960</wp:posOffset>
              </wp:positionH>
              <wp:positionV relativeFrom="paragraph">
                <wp:posOffset>337820</wp:posOffset>
              </wp:positionV>
              <wp:extent cx="7317740" cy="656590"/>
              <wp:effectExtent l="0" t="0" r="16510" b="1016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7740" cy="656590"/>
                        <a:chOff x="0" y="0"/>
                        <a:chExt cx="7374890" cy="600074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737489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B4921" w:rsidRDefault="005B4921" w:rsidP="005B4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219075" y="171449"/>
                          <a:ext cx="381000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5B4921" w:rsidRPr="002360B0" w:rsidRDefault="005B4921" w:rsidP="005B4921">
                            <w:pPr>
                              <w:jc w:val="left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Toileting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D4D46B" id="Group 3" o:spid="_x0000_s1026" style="position:absolute;left:0;text-align:left;margin-left:-54.8pt;margin-top:26.6pt;width:576.2pt;height:51.7pt;z-index:251659264;mso-width-relative:margin;mso-height-relative:margin" coordsize="73748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width:73748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+p8UA&#10;AADaAAAADwAAAGRycy9kb3ducmV2LnhtbESP0WrCQBRE3wv+w3IFX8RsajVImlVqsCr2qdoPuGRv&#10;k9Ds3ZDdaNqv7xaEPg4zc4bJNoNpxJU6V1tW8BjFIIgLq2suFXxcXmcrEM4ja2wsk4JvcrBZjx4y&#10;TLW98Ttdz74UAcIuRQWV920qpSsqMugi2xIH79N2Bn2QXSl1h7cAN42cx3EiDdYcFipsKa+o+Dr3&#10;RsFu+2aX+zy5HH8W+YH3/fTkn3qlJuPh5RmEp8H/h+/to1awgL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36nxQAAANoAAAAPAAAAAAAAAAAAAAAAAJgCAABkcnMv&#10;ZG93bnJldi54bWxQSwUGAAAAAAQABAD1AAAAigMAAAAA&#10;" fillcolor="#7f7f7f" strokecolor="#a6a6a6" strokeweight=".5pt">
                <v:textbox>
                  <w:txbxContent>
                    <w:p w:rsidR="005B4921" w:rsidRDefault="005B4921" w:rsidP="005B4921"/>
                  </w:txbxContent>
                </v:textbox>
              </v:shape>
              <v:shape id="Text Box 5" o:spid="_x0000_s1028" type="#_x0000_t202" style="position:absolute;left:2190;top:1714;width:3810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y78MA&#10;AADaAAAADwAAAGRycy9kb3ducmV2LnhtbESPT4vCMBTE7wt+h/AEL6KpLqtSjSLLCnrYg39AvD2a&#10;Z1ttXkqS1frtjSDscZiZ3zCzRWMqcSPnS8sKBv0EBHFmdcm5gsN+1ZuA8AFZY2WZFDzIw2Le+phh&#10;qu2dt3TbhVxECPsUFRQh1KmUPivIoO/bmjh6Z+sMhihdLrXDe4SbSg6TZCQNlhwXCqzpu6Dsuvsz&#10;Cn68NNXleC27bnWajD/Hv5u100p12s1yCiJQE/7D7/ZaK/iC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7y78MAAADaAAAADwAAAAAAAAAAAAAAAACYAgAAZHJzL2Rv&#10;d25yZXYueG1sUEsFBgAAAAAEAAQA9QAAAIgDAAAAAA==&#10;" fillcolor="#92d050" strokecolor="#92d050" strokeweight=".5pt">
                <v:textbox>
                  <w:txbxContent>
                    <w:p w:rsidR="005B4921" w:rsidRPr="002360B0" w:rsidRDefault="005B4921" w:rsidP="005B4921">
                      <w:pPr>
                        <w:jc w:val="left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Toileting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5B6"/>
    <w:multiLevelType w:val="hybridMultilevel"/>
    <w:tmpl w:val="9E7C9FD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7B89"/>
    <w:multiLevelType w:val="hybridMultilevel"/>
    <w:tmpl w:val="96B2AD3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5359"/>
    <w:multiLevelType w:val="hybridMultilevel"/>
    <w:tmpl w:val="75BC11A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C36CA"/>
    <w:multiLevelType w:val="hybridMultilevel"/>
    <w:tmpl w:val="5A9C9CB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33410"/>
    <w:multiLevelType w:val="hybridMultilevel"/>
    <w:tmpl w:val="E3F82F1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C33A7"/>
    <w:multiLevelType w:val="hybridMultilevel"/>
    <w:tmpl w:val="04B8495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D4CB4"/>
    <w:multiLevelType w:val="hybridMultilevel"/>
    <w:tmpl w:val="9FE21DE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B56C6"/>
    <w:multiLevelType w:val="hybridMultilevel"/>
    <w:tmpl w:val="1444D13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40AD9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4A"/>
    <w:rsid w:val="000012E2"/>
    <w:rsid w:val="000331B6"/>
    <w:rsid w:val="00054F8F"/>
    <w:rsid w:val="000713CD"/>
    <w:rsid w:val="00081268"/>
    <w:rsid w:val="000909A7"/>
    <w:rsid w:val="000A2EDC"/>
    <w:rsid w:val="000B1049"/>
    <w:rsid w:val="000D059C"/>
    <w:rsid w:val="000D2052"/>
    <w:rsid w:val="000F4D51"/>
    <w:rsid w:val="000F580E"/>
    <w:rsid w:val="001030E3"/>
    <w:rsid w:val="001123E2"/>
    <w:rsid w:val="00143417"/>
    <w:rsid w:val="0016189E"/>
    <w:rsid w:val="00176FF4"/>
    <w:rsid w:val="00195BC3"/>
    <w:rsid w:val="00195EC6"/>
    <w:rsid w:val="001B759C"/>
    <w:rsid w:val="001D0830"/>
    <w:rsid w:val="001D57FF"/>
    <w:rsid w:val="001F02AE"/>
    <w:rsid w:val="001F2361"/>
    <w:rsid w:val="00222855"/>
    <w:rsid w:val="00231468"/>
    <w:rsid w:val="00235A0E"/>
    <w:rsid w:val="002374BF"/>
    <w:rsid w:val="00267336"/>
    <w:rsid w:val="0027147D"/>
    <w:rsid w:val="00275981"/>
    <w:rsid w:val="00282CD2"/>
    <w:rsid w:val="002C6763"/>
    <w:rsid w:val="002C6D66"/>
    <w:rsid w:val="002D21DF"/>
    <w:rsid w:val="00301389"/>
    <w:rsid w:val="00356954"/>
    <w:rsid w:val="003572EA"/>
    <w:rsid w:val="0036374A"/>
    <w:rsid w:val="00375006"/>
    <w:rsid w:val="00375176"/>
    <w:rsid w:val="003A260D"/>
    <w:rsid w:val="003A28BF"/>
    <w:rsid w:val="003A2A0A"/>
    <w:rsid w:val="003B406D"/>
    <w:rsid w:val="003C565B"/>
    <w:rsid w:val="003C6443"/>
    <w:rsid w:val="003C7458"/>
    <w:rsid w:val="003D4830"/>
    <w:rsid w:val="003E6863"/>
    <w:rsid w:val="003F36B2"/>
    <w:rsid w:val="004068A2"/>
    <w:rsid w:val="00406B34"/>
    <w:rsid w:val="00407C0D"/>
    <w:rsid w:val="004102B4"/>
    <w:rsid w:val="00410DB5"/>
    <w:rsid w:val="00412BE8"/>
    <w:rsid w:val="00415D1D"/>
    <w:rsid w:val="004230A1"/>
    <w:rsid w:val="00437F85"/>
    <w:rsid w:val="004638D2"/>
    <w:rsid w:val="00471B75"/>
    <w:rsid w:val="00472896"/>
    <w:rsid w:val="004835A3"/>
    <w:rsid w:val="0049086D"/>
    <w:rsid w:val="004B2F1C"/>
    <w:rsid w:val="004C4A2D"/>
    <w:rsid w:val="004D01BF"/>
    <w:rsid w:val="004D367E"/>
    <w:rsid w:val="00512A79"/>
    <w:rsid w:val="00513D66"/>
    <w:rsid w:val="00523B20"/>
    <w:rsid w:val="00552157"/>
    <w:rsid w:val="005633F1"/>
    <w:rsid w:val="005A5DA9"/>
    <w:rsid w:val="005B4921"/>
    <w:rsid w:val="005D2588"/>
    <w:rsid w:val="005E18A5"/>
    <w:rsid w:val="005E7E36"/>
    <w:rsid w:val="005F3004"/>
    <w:rsid w:val="006025F0"/>
    <w:rsid w:val="00606066"/>
    <w:rsid w:val="00614C25"/>
    <w:rsid w:val="006A4D35"/>
    <w:rsid w:val="006B04BE"/>
    <w:rsid w:val="006C3A67"/>
    <w:rsid w:val="006C5AB7"/>
    <w:rsid w:val="006D280B"/>
    <w:rsid w:val="006E0BD5"/>
    <w:rsid w:val="006E25B2"/>
    <w:rsid w:val="006F0A7F"/>
    <w:rsid w:val="006F32C4"/>
    <w:rsid w:val="00700CB8"/>
    <w:rsid w:val="00705780"/>
    <w:rsid w:val="00707351"/>
    <w:rsid w:val="0072401F"/>
    <w:rsid w:val="00724383"/>
    <w:rsid w:val="00741229"/>
    <w:rsid w:val="00756664"/>
    <w:rsid w:val="00762239"/>
    <w:rsid w:val="007A486E"/>
    <w:rsid w:val="007A5A6E"/>
    <w:rsid w:val="007E5D8F"/>
    <w:rsid w:val="007F17C7"/>
    <w:rsid w:val="007F79A1"/>
    <w:rsid w:val="00854C5F"/>
    <w:rsid w:val="00857701"/>
    <w:rsid w:val="00860B51"/>
    <w:rsid w:val="00897BAD"/>
    <w:rsid w:val="008B56CB"/>
    <w:rsid w:val="008B73AB"/>
    <w:rsid w:val="008C183E"/>
    <w:rsid w:val="008D6C1B"/>
    <w:rsid w:val="008F4D06"/>
    <w:rsid w:val="00913520"/>
    <w:rsid w:val="009235A1"/>
    <w:rsid w:val="009323D3"/>
    <w:rsid w:val="009477F4"/>
    <w:rsid w:val="00950393"/>
    <w:rsid w:val="00951A24"/>
    <w:rsid w:val="009524DC"/>
    <w:rsid w:val="00973739"/>
    <w:rsid w:val="00976F90"/>
    <w:rsid w:val="009965FB"/>
    <w:rsid w:val="00997F5E"/>
    <w:rsid w:val="009B34CF"/>
    <w:rsid w:val="009E6CCE"/>
    <w:rsid w:val="009E74EF"/>
    <w:rsid w:val="009E7D4C"/>
    <w:rsid w:val="009F063F"/>
    <w:rsid w:val="009F0999"/>
    <w:rsid w:val="00A02385"/>
    <w:rsid w:val="00A07EB2"/>
    <w:rsid w:val="00A14857"/>
    <w:rsid w:val="00A1579D"/>
    <w:rsid w:val="00A524AA"/>
    <w:rsid w:val="00A61FD6"/>
    <w:rsid w:val="00A621D4"/>
    <w:rsid w:val="00A95329"/>
    <w:rsid w:val="00AA5227"/>
    <w:rsid w:val="00AA7204"/>
    <w:rsid w:val="00AA7B49"/>
    <w:rsid w:val="00AB1006"/>
    <w:rsid w:val="00AC52C7"/>
    <w:rsid w:val="00AE3DC7"/>
    <w:rsid w:val="00B06C00"/>
    <w:rsid w:val="00B125B6"/>
    <w:rsid w:val="00B32629"/>
    <w:rsid w:val="00B41425"/>
    <w:rsid w:val="00B4299C"/>
    <w:rsid w:val="00B553CE"/>
    <w:rsid w:val="00B56E16"/>
    <w:rsid w:val="00B60282"/>
    <w:rsid w:val="00B713C8"/>
    <w:rsid w:val="00B72B80"/>
    <w:rsid w:val="00B74F6B"/>
    <w:rsid w:val="00B95E8C"/>
    <w:rsid w:val="00BB2D63"/>
    <w:rsid w:val="00BC2568"/>
    <w:rsid w:val="00BD47AB"/>
    <w:rsid w:val="00BE3192"/>
    <w:rsid w:val="00BE4679"/>
    <w:rsid w:val="00BF3CC0"/>
    <w:rsid w:val="00BF6367"/>
    <w:rsid w:val="00C03208"/>
    <w:rsid w:val="00C1191A"/>
    <w:rsid w:val="00C13775"/>
    <w:rsid w:val="00C30719"/>
    <w:rsid w:val="00C36E6F"/>
    <w:rsid w:val="00C449C0"/>
    <w:rsid w:val="00C52C53"/>
    <w:rsid w:val="00C53A54"/>
    <w:rsid w:val="00C55B16"/>
    <w:rsid w:val="00C6102F"/>
    <w:rsid w:val="00C61326"/>
    <w:rsid w:val="00C669E5"/>
    <w:rsid w:val="00C72D31"/>
    <w:rsid w:val="00C76CB4"/>
    <w:rsid w:val="00C86DF0"/>
    <w:rsid w:val="00C95F76"/>
    <w:rsid w:val="00C9794B"/>
    <w:rsid w:val="00CB0449"/>
    <w:rsid w:val="00CB6033"/>
    <w:rsid w:val="00CC0C6E"/>
    <w:rsid w:val="00CC6860"/>
    <w:rsid w:val="00CD57C1"/>
    <w:rsid w:val="00CE573B"/>
    <w:rsid w:val="00D16E5E"/>
    <w:rsid w:val="00D26E8B"/>
    <w:rsid w:val="00D30E65"/>
    <w:rsid w:val="00D42EED"/>
    <w:rsid w:val="00D66D11"/>
    <w:rsid w:val="00D67469"/>
    <w:rsid w:val="00D73E67"/>
    <w:rsid w:val="00D93BB1"/>
    <w:rsid w:val="00D972CB"/>
    <w:rsid w:val="00DB46BD"/>
    <w:rsid w:val="00DD00A0"/>
    <w:rsid w:val="00DD3E9E"/>
    <w:rsid w:val="00E31DB2"/>
    <w:rsid w:val="00E3414A"/>
    <w:rsid w:val="00E360BF"/>
    <w:rsid w:val="00E47272"/>
    <w:rsid w:val="00E50883"/>
    <w:rsid w:val="00EA3698"/>
    <w:rsid w:val="00EB1144"/>
    <w:rsid w:val="00EB6F7D"/>
    <w:rsid w:val="00EC361C"/>
    <w:rsid w:val="00EE005C"/>
    <w:rsid w:val="00EE5D98"/>
    <w:rsid w:val="00F00724"/>
    <w:rsid w:val="00F019E5"/>
    <w:rsid w:val="00F04075"/>
    <w:rsid w:val="00F13255"/>
    <w:rsid w:val="00F2732D"/>
    <w:rsid w:val="00F322F8"/>
    <w:rsid w:val="00F3371A"/>
    <w:rsid w:val="00F50E15"/>
    <w:rsid w:val="00F72DDA"/>
    <w:rsid w:val="00F7787C"/>
    <w:rsid w:val="00F85C0B"/>
    <w:rsid w:val="00F97095"/>
    <w:rsid w:val="00F975E8"/>
    <w:rsid w:val="00FA1F93"/>
    <w:rsid w:val="00FB5AB6"/>
    <w:rsid w:val="00FB63A4"/>
    <w:rsid w:val="00FB761D"/>
    <w:rsid w:val="00FC7AF1"/>
    <w:rsid w:val="00FD4DCD"/>
    <w:rsid w:val="00FD6401"/>
    <w:rsid w:val="00FD7F85"/>
    <w:rsid w:val="00FE2055"/>
    <w:rsid w:val="00FF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28D081D1-B7CB-43BC-B50F-20A4202F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8B"/>
    <w:pPr>
      <w:jc w:val="center"/>
    </w:pPr>
    <w:rPr>
      <w:rFonts w:cs="Times New Roman"/>
      <w:sz w:val="28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DD3E9E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DD3E9E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6374A"/>
    <w:pPr>
      <w:jc w:val="lef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374A"/>
    <w:rPr>
      <w:rFonts w:ascii="Times New Roman" w:hAnsi="Times New Roman" w:cs="Times New Roman"/>
      <w:b/>
      <w:i/>
      <w:sz w:val="24"/>
    </w:rPr>
  </w:style>
  <w:style w:type="table" w:styleId="TableGrid">
    <w:name w:val="Table Grid"/>
    <w:basedOn w:val="TableNormal"/>
    <w:uiPriority w:val="99"/>
    <w:rsid w:val="0036374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4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307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8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FC7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AF1"/>
    <w:rPr>
      <w:rFonts w:cs="Times New Roman"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AF1"/>
    <w:rPr>
      <w:rFonts w:ascii="Tahoma" w:hAnsi="Tahoma" w:cs="Tahoma"/>
      <w:sz w:val="16"/>
      <w:szCs w:val="16"/>
      <w:lang w:val="x-none" w:eastAsia="en-US"/>
    </w:rPr>
  </w:style>
  <w:style w:type="character" w:styleId="Strong">
    <w:name w:val="Strong"/>
    <w:basedOn w:val="DefaultParagraphFont"/>
    <w:uiPriority w:val="22"/>
    <w:qFormat/>
    <w:locked/>
    <w:rsid w:val="00C6132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C3A6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C3A67"/>
    <w:rPr>
      <w:rFonts w:cs="Times New Roman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6C3A6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15">
    <w:name w:val="A15"/>
    <w:rsid w:val="006C3A67"/>
    <w:rPr>
      <w:color w:val="000000"/>
      <w:sz w:val="14"/>
    </w:rPr>
  </w:style>
  <w:style w:type="paragraph" w:customStyle="1" w:styleId="Pa7">
    <w:name w:val="Pa7"/>
    <w:basedOn w:val="Normal"/>
    <w:next w:val="Normal"/>
    <w:rsid w:val="006C3A67"/>
    <w:pPr>
      <w:autoSpaceDE w:val="0"/>
      <w:autoSpaceDN w:val="0"/>
      <w:adjustRightInd w:val="0"/>
      <w:spacing w:line="221" w:lineRule="atLeast"/>
      <w:jc w:val="left"/>
    </w:pPr>
    <w:rPr>
      <w:rFonts w:ascii="Meta Plus Normal" w:hAnsi="Meta Plus Normal"/>
      <w:sz w:val="24"/>
      <w:szCs w:val="24"/>
    </w:rPr>
  </w:style>
  <w:style w:type="character" w:styleId="HTMLCite">
    <w:name w:val="HTML Cite"/>
    <w:basedOn w:val="DefaultParagraphFont"/>
    <w:uiPriority w:val="99"/>
    <w:rsid w:val="005D2588"/>
    <w:rPr>
      <w:rFonts w:cs="Times New Roman"/>
      <w:i/>
    </w:rPr>
  </w:style>
  <w:style w:type="character" w:customStyle="1" w:styleId="vshid1">
    <w:name w:val="vshid1"/>
    <w:uiPriority w:val="99"/>
    <w:rsid w:val="005D2588"/>
    <w:rPr>
      <w:vanish/>
    </w:rPr>
  </w:style>
  <w:style w:type="paragraph" w:customStyle="1" w:styleId="Pa20">
    <w:name w:val="Pa20"/>
    <w:basedOn w:val="Normal"/>
    <w:next w:val="Normal"/>
    <w:rsid w:val="009E7D4C"/>
    <w:pPr>
      <w:autoSpaceDE w:val="0"/>
      <w:autoSpaceDN w:val="0"/>
      <w:adjustRightInd w:val="0"/>
      <w:spacing w:line="191" w:lineRule="atLeast"/>
      <w:jc w:val="left"/>
    </w:pPr>
    <w:rPr>
      <w:rFonts w:ascii="Meta Plus Normal" w:hAnsi="Meta Plus Normal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E6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rc.gov.au/_files_nhmrc/publications/attachments/ch43poster2.pdf" TargetMode="External"/><Relationship Id="rId13" Type="http://schemas.openxmlformats.org/officeDocument/2006/relationships/hyperlink" Target="http://www.health.qld.gov.au/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cac.acecqa.gov.au/educator-resources/pcf-articles/Recognising_chns_right_to_privacy_Sept10.pdf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cac.acecqa.gov.au/educator-resources/pcf-articles/FF_Toilet_training_in_childcare_Sept10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cac.acecqa.gov.au/family-resources/factsheets/Toilet_training.pdf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mrc.gov.au/_files_nhmrc/publications/attachments/ch43poster1.pdf" TargetMode="External"/><Relationship Id="rId14" Type="http://schemas.openxmlformats.org/officeDocument/2006/relationships/hyperlink" Target="http://www.rch.org.au/home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0D92-6254-4BB6-9789-F2CD8C95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Nappy Change and Toileting</vt:lpstr>
    </vt:vector>
  </TitlesOfParts>
  <Company>Toshiba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Nappy Change and Toileting</dc:title>
  <dc:subject/>
  <dc:creator>Dr Brenda Abbey</dc:creator>
  <cp:keywords/>
  <dc:description/>
  <cp:lastModifiedBy>Maryann Dziedzic</cp:lastModifiedBy>
  <cp:revision>2</cp:revision>
  <cp:lastPrinted>2017-12-20T05:43:00Z</cp:lastPrinted>
  <dcterms:created xsi:type="dcterms:W3CDTF">2018-02-16T07:53:00Z</dcterms:created>
  <dcterms:modified xsi:type="dcterms:W3CDTF">2018-02-16T07:53:00Z</dcterms:modified>
</cp:coreProperties>
</file>