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0B" w:rsidRDefault="009C030B" w:rsidP="009C60C5">
      <w:pPr>
        <w:rPr>
          <w:b/>
          <w:sz w:val="22"/>
        </w:rPr>
      </w:pPr>
      <w:bookmarkStart w:id="0" w:name="OLE_LINK3"/>
    </w:p>
    <w:p w:rsidR="009C030B" w:rsidRDefault="009C030B" w:rsidP="009C60C5">
      <w:pPr>
        <w:rPr>
          <w:b/>
          <w:sz w:val="22"/>
        </w:rPr>
      </w:pPr>
    </w:p>
    <w:p w:rsidR="00695AFD" w:rsidRDefault="00275D3B" w:rsidP="009C60C5">
      <w:pPr>
        <w:rPr>
          <w:b/>
          <w:sz w:val="22"/>
        </w:rPr>
      </w:pPr>
      <w:r>
        <w:rPr>
          <w:b/>
          <w:sz w:val="22"/>
        </w:rPr>
        <w:t>Canossa Kindergarten</w:t>
      </w:r>
    </w:p>
    <w:p w:rsidR="009C60C5" w:rsidRDefault="009C60C5" w:rsidP="009C60C5">
      <w:pPr>
        <w:rPr>
          <w:b/>
          <w:sz w:val="22"/>
        </w:rPr>
      </w:pPr>
    </w:p>
    <w:p w:rsidR="00695AFD" w:rsidRPr="0083267D" w:rsidRDefault="00695AFD" w:rsidP="00695AFD">
      <w:pPr>
        <w:pBdr>
          <w:bottom w:val="single" w:sz="4" w:space="1" w:color="auto"/>
        </w:pBdr>
        <w:rPr>
          <w:b/>
          <w:sz w:val="22"/>
        </w:rPr>
      </w:pPr>
    </w:p>
    <w:p w:rsidR="00695AFD" w:rsidRPr="0083267D" w:rsidRDefault="00695AFD" w:rsidP="009C60C5">
      <w:pPr>
        <w:pBdr>
          <w:bottom w:val="single" w:sz="4" w:space="1" w:color="auto"/>
        </w:pBdr>
        <w:jc w:val="left"/>
        <w:rPr>
          <w:b/>
          <w:sz w:val="22"/>
        </w:rPr>
      </w:pPr>
      <w:r>
        <w:rPr>
          <w:b/>
          <w:sz w:val="22"/>
        </w:rPr>
        <w:t>Background</w:t>
      </w:r>
    </w:p>
    <w:p w:rsidR="00695AFD" w:rsidRDefault="00695AFD" w:rsidP="00695AFD">
      <w:pPr>
        <w:ind w:left="360"/>
        <w:rPr>
          <w:sz w:val="22"/>
        </w:rPr>
      </w:pPr>
    </w:p>
    <w:p w:rsidR="00695AFD" w:rsidRPr="004E2CC9" w:rsidRDefault="00695AFD" w:rsidP="00695AFD">
      <w:pPr>
        <w:jc w:val="both"/>
        <w:rPr>
          <w:rFonts w:cs="Meta Plus Normal"/>
          <w:sz w:val="22"/>
        </w:rPr>
      </w:pPr>
      <w:r w:rsidRPr="004E2CC9">
        <w:rPr>
          <w:rFonts w:cs="Meta Plus Normal"/>
          <w:sz w:val="22"/>
        </w:rPr>
        <w:t xml:space="preserve">Good nutrition is essential to healthy living and enables children to be active participants in play and leisure. Education and care settings provide many opportunities for children to experience a </w:t>
      </w:r>
      <w:smartTag w:uri="urn:schemas-microsoft-com:office:smarttags" w:element="PersonName">
        <w:r w:rsidRPr="004E2CC9">
          <w:rPr>
            <w:rFonts w:cs="Meta Plus Normal"/>
            <w:sz w:val="22"/>
          </w:rPr>
          <w:t>rang</w:t>
        </w:r>
      </w:smartTag>
      <w:r w:rsidRPr="004E2CC9">
        <w:rPr>
          <w:rFonts w:cs="Meta Plus Normal"/>
          <w:sz w:val="22"/>
        </w:rPr>
        <w:t>e of healthy foods and to learn about food choices from educators and other children (</w:t>
      </w:r>
      <w:r w:rsidRPr="004E2CC9">
        <w:rPr>
          <w:rFonts w:cs="Meta Plus Normal"/>
          <w:i/>
          <w:iCs/>
          <w:sz w:val="22"/>
        </w:rPr>
        <w:t>Early Years Learning Framework</w:t>
      </w:r>
      <w:r w:rsidRPr="004E2CC9">
        <w:rPr>
          <w:rFonts w:cs="Meta Plus Normal"/>
          <w:sz w:val="22"/>
        </w:rPr>
        <w:t xml:space="preserve">, page 30; </w:t>
      </w:r>
      <w:r w:rsidRPr="004E2CC9">
        <w:rPr>
          <w:rFonts w:cs="Meta Plus Normal"/>
          <w:i/>
          <w:iCs/>
          <w:sz w:val="22"/>
        </w:rPr>
        <w:t xml:space="preserve">Framework for School Age Care, </w:t>
      </w:r>
      <w:r w:rsidRPr="004E2CC9">
        <w:rPr>
          <w:rFonts w:cs="Meta Plus Normal"/>
          <w:sz w:val="22"/>
        </w:rPr>
        <w:t>page 30).</w:t>
      </w:r>
    </w:p>
    <w:p w:rsidR="00695AFD" w:rsidRPr="0083267D" w:rsidRDefault="00695AFD" w:rsidP="00695AFD">
      <w:pPr>
        <w:ind w:left="360"/>
        <w:rPr>
          <w:sz w:val="22"/>
        </w:rPr>
      </w:pPr>
    </w:p>
    <w:p w:rsidR="00695AFD" w:rsidRPr="0083267D" w:rsidRDefault="00695AFD" w:rsidP="009C60C5">
      <w:pPr>
        <w:pBdr>
          <w:bottom w:val="single" w:sz="4" w:space="1" w:color="auto"/>
        </w:pBdr>
        <w:jc w:val="left"/>
        <w:rPr>
          <w:b/>
          <w:sz w:val="22"/>
        </w:rPr>
      </w:pPr>
      <w:r w:rsidRPr="0083267D">
        <w:rPr>
          <w:b/>
          <w:sz w:val="22"/>
        </w:rPr>
        <w:t>Policy statement</w:t>
      </w:r>
    </w:p>
    <w:p w:rsidR="00695AFD" w:rsidRDefault="00695AFD" w:rsidP="00695AFD">
      <w:pPr>
        <w:rPr>
          <w:sz w:val="22"/>
        </w:rPr>
      </w:pPr>
    </w:p>
    <w:p w:rsidR="00695AFD" w:rsidRPr="00883AFD" w:rsidRDefault="00695AFD" w:rsidP="00695AFD">
      <w:pPr>
        <w:jc w:val="both"/>
        <w:rPr>
          <w:sz w:val="22"/>
        </w:rPr>
      </w:pPr>
      <w:r w:rsidRPr="00883AFD">
        <w:rPr>
          <w:sz w:val="22"/>
        </w:rPr>
        <w:t xml:space="preserve">This Policy details the </w:t>
      </w:r>
      <w:r w:rsidR="0063688C">
        <w:rPr>
          <w:sz w:val="22"/>
        </w:rPr>
        <w:t>Service</w:t>
      </w:r>
      <w:r w:rsidRPr="00883AFD">
        <w:rPr>
          <w:sz w:val="22"/>
        </w:rPr>
        <w:t xml:space="preserve">’s approach to mealtimes when the food and beverages consumed by children while at the </w:t>
      </w:r>
      <w:r w:rsidR="0063688C">
        <w:rPr>
          <w:sz w:val="22"/>
        </w:rPr>
        <w:t>Service</w:t>
      </w:r>
      <w:r w:rsidRPr="00883AFD">
        <w:rPr>
          <w:sz w:val="22"/>
        </w:rPr>
        <w:t xml:space="preserve"> are provided by their parents. It also describes the way educators use mealtimes for a happy and social occasion, and for developing lifelong healthy food choices.   </w:t>
      </w:r>
    </w:p>
    <w:p w:rsidR="00695AFD" w:rsidRPr="0083267D" w:rsidRDefault="00695AFD" w:rsidP="00695AFD">
      <w:pPr>
        <w:rPr>
          <w:b/>
          <w:sz w:val="22"/>
        </w:rPr>
      </w:pPr>
      <w:bookmarkStart w:id="1" w:name="OLE_LINK4"/>
    </w:p>
    <w:bookmarkEnd w:id="1"/>
    <w:p w:rsidR="00695AFD" w:rsidRPr="0083267D" w:rsidRDefault="00695AFD" w:rsidP="009C60C5">
      <w:pPr>
        <w:pBdr>
          <w:bottom w:val="single" w:sz="4" w:space="1" w:color="auto"/>
        </w:pBdr>
        <w:jc w:val="left"/>
        <w:rPr>
          <w:b/>
          <w:sz w:val="22"/>
        </w:rPr>
      </w:pPr>
      <w:r w:rsidRPr="0083267D">
        <w:rPr>
          <w:b/>
          <w:sz w:val="22"/>
        </w:rPr>
        <w:t>Strategies and practices</w:t>
      </w:r>
    </w:p>
    <w:p w:rsidR="00695AFD" w:rsidRPr="001D4DA0" w:rsidRDefault="00695AFD" w:rsidP="00695AFD">
      <w:pPr>
        <w:suppressAutoHyphens/>
        <w:jc w:val="both"/>
        <w:rPr>
          <w:rFonts w:cs="Calibri"/>
          <w:color w:val="FF00FF"/>
          <w:sz w:val="22"/>
        </w:rPr>
      </w:pPr>
    </w:p>
    <w:p w:rsidR="00695AFD" w:rsidRPr="004D2766" w:rsidRDefault="00695AFD" w:rsidP="00190196">
      <w:pPr>
        <w:numPr>
          <w:ilvl w:val="0"/>
          <w:numId w:val="6"/>
        </w:numPr>
        <w:spacing w:after="200" w:line="276" w:lineRule="auto"/>
        <w:jc w:val="both"/>
        <w:rPr>
          <w:rFonts w:cs="Calibri"/>
          <w:sz w:val="22"/>
        </w:rPr>
      </w:pPr>
      <w:r w:rsidRPr="004D2766">
        <w:rPr>
          <w:rFonts w:cs="Calibri"/>
          <w:sz w:val="22"/>
        </w:rPr>
        <w:t xml:space="preserve">The </w:t>
      </w:r>
      <w:r w:rsidR="0063688C">
        <w:rPr>
          <w:rFonts w:cs="Calibri"/>
          <w:sz w:val="22"/>
        </w:rPr>
        <w:t>Service</w:t>
      </w:r>
      <w:r w:rsidRPr="004D2766">
        <w:rPr>
          <w:rFonts w:cs="Calibri"/>
          <w:sz w:val="22"/>
        </w:rPr>
        <w:t xml:space="preserve">’s </w:t>
      </w:r>
      <w:r w:rsidRPr="00883AFD">
        <w:rPr>
          <w:rFonts w:cs="Calibri"/>
          <w:i/>
          <w:sz w:val="22"/>
        </w:rPr>
        <w:t>Nutrition, Food</w:t>
      </w:r>
      <w:r w:rsidRPr="004D2766">
        <w:rPr>
          <w:rFonts w:cs="Calibri"/>
          <w:i/>
          <w:sz w:val="22"/>
        </w:rPr>
        <w:t xml:space="preserve"> and Beve</w:t>
      </w:r>
      <w:r>
        <w:rPr>
          <w:rFonts w:cs="Calibri"/>
          <w:i/>
          <w:sz w:val="22"/>
        </w:rPr>
        <w:t>rage</w:t>
      </w:r>
      <w:r w:rsidRPr="004D2766">
        <w:rPr>
          <w:rFonts w:cs="Calibri"/>
          <w:i/>
          <w:sz w:val="22"/>
        </w:rPr>
        <w:t xml:space="preserve"> </w:t>
      </w:r>
      <w:r w:rsidRPr="004D2766">
        <w:rPr>
          <w:rFonts w:cs="Calibri"/>
          <w:sz w:val="22"/>
        </w:rPr>
        <w:t xml:space="preserve">Policy is explained to parents at enrolment. Parents are provided with information about nutritious, age-appropriate food and drink, and </w:t>
      </w:r>
      <w:r>
        <w:rPr>
          <w:rFonts w:cs="Calibri"/>
          <w:sz w:val="22"/>
        </w:rPr>
        <w:t xml:space="preserve">with </w:t>
      </w:r>
      <w:r w:rsidRPr="004D2766">
        <w:rPr>
          <w:rFonts w:cs="Calibri"/>
          <w:sz w:val="22"/>
        </w:rPr>
        <w:t xml:space="preserve">healthy lunch box tips. </w:t>
      </w:r>
    </w:p>
    <w:p w:rsidR="00695AFD" w:rsidRPr="005B1765" w:rsidRDefault="00695AFD" w:rsidP="00190196">
      <w:pPr>
        <w:pStyle w:val="NoSpacing"/>
        <w:numPr>
          <w:ilvl w:val="0"/>
          <w:numId w:val="6"/>
        </w:numPr>
        <w:jc w:val="both"/>
      </w:pPr>
      <w:r w:rsidRPr="005B1765">
        <w:t xml:space="preserve">At enrolment, parents provide the </w:t>
      </w:r>
      <w:r w:rsidR="0063688C">
        <w:t>Service</w:t>
      </w:r>
      <w:r w:rsidRPr="005B1765">
        <w:t xml:space="preserve"> with details of their child’s food and drink allergies and of any cultural preferences in food. The enrolment form has provision for parents to provide the </w:t>
      </w:r>
      <w:r w:rsidR="0063688C">
        <w:t>Service</w:t>
      </w:r>
      <w:r w:rsidRPr="005B1765">
        <w:t xml:space="preserve"> with details of any special dietary requirements (e.g. allergies, culture, religion, food preferences). Parents are asked to update this information when any changes occur.  This information is needed for those times when children may be offered items not from home (e.g. birthday cake, cooking).</w:t>
      </w:r>
      <w:r>
        <w:t xml:space="preserve"> </w:t>
      </w:r>
    </w:p>
    <w:p w:rsidR="00695AFD" w:rsidRPr="004D2766" w:rsidRDefault="00695AFD" w:rsidP="00695AFD">
      <w:pPr>
        <w:pStyle w:val="NoSpacing"/>
        <w:ind w:left="360"/>
        <w:jc w:val="both"/>
      </w:pPr>
    </w:p>
    <w:p w:rsidR="00695AFD" w:rsidRDefault="00695AFD" w:rsidP="00F55B0A">
      <w:pPr>
        <w:pStyle w:val="NoSpacing"/>
        <w:numPr>
          <w:ilvl w:val="0"/>
          <w:numId w:val="6"/>
        </w:numPr>
        <w:jc w:val="both"/>
      </w:pPr>
      <w:r w:rsidRPr="00643F2C">
        <w:rPr>
          <w:rFonts w:cs="Calibri"/>
        </w:rPr>
        <w:t xml:space="preserve">With the exception of drinking water, parents supply all of their children’s food and drink requirements while at the </w:t>
      </w:r>
      <w:r w:rsidR="0063688C" w:rsidRPr="00643F2C">
        <w:rPr>
          <w:rFonts w:cs="Calibri"/>
        </w:rPr>
        <w:t>Service</w:t>
      </w:r>
      <w:r w:rsidRPr="00643F2C">
        <w:rPr>
          <w:rFonts w:cs="Calibri"/>
        </w:rPr>
        <w:t xml:space="preserve"> and for excursions. Parents are encouraged to pack in their children’s lunch boxes only food that is consistent with </w:t>
      </w:r>
      <w:r w:rsidRPr="00643F2C">
        <w:rPr>
          <w:i/>
        </w:rPr>
        <w:t>Get Up &amp; Grow: Healthy Eating and Physical Activity for Early Childhood</w:t>
      </w:r>
      <w:r w:rsidRPr="004D2766">
        <w:t xml:space="preserve">, and/or </w:t>
      </w:r>
      <w:r w:rsidRPr="00643F2C">
        <w:rPr>
          <w:i/>
        </w:rPr>
        <w:t>Dietary Guidelines for Children and Adolescents in Australia</w:t>
      </w:r>
      <w:r w:rsidRPr="004D2766">
        <w:t xml:space="preserve">. </w:t>
      </w:r>
      <w:r w:rsidRPr="001E2183">
        <w:t xml:space="preserve">The healthy eating message is promoted and positively reinforced amongst families through notice boards, newsletters, information nights, educator-parent meetings, the </w:t>
      </w:r>
      <w:r w:rsidR="0063688C">
        <w:t>Service</w:t>
      </w:r>
      <w:r>
        <w:t xml:space="preserve">’s </w:t>
      </w:r>
      <w:r w:rsidRPr="001E2183">
        <w:t xml:space="preserve">website and up-to-date materials from recognised authorities. </w:t>
      </w:r>
    </w:p>
    <w:p w:rsidR="00643F2C" w:rsidRDefault="00643F2C" w:rsidP="00643F2C">
      <w:pPr>
        <w:pStyle w:val="ListParagraph"/>
      </w:pPr>
    </w:p>
    <w:p w:rsidR="00695AFD" w:rsidRPr="004D2766" w:rsidRDefault="00695AFD" w:rsidP="00190196">
      <w:pPr>
        <w:numPr>
          <w:ilvl w:val="0"/>
          <w:numId w:val="6"/>
        </w:numPr>
        <w:spacing w:after="200" w:line="276" w:lineRule="auto"/>
        <w:jc w:val="both"/>
        <w:rPr>
          <w:sz w:val="22"/>
        </w:rPr>
      </w:pPr>
      <w:r w:rsidRPr="004D2766">
        <w:rPr>
          <w:sz w:val="22"/>
        </w:rPr>
        <w:t>Educators promote healthy eating in children by including the topic in daily routines</w:t>
      </w:r>
      <w:r>
        <w:rPr>
          <w:sz w:val="22"/>
        </w:rPr>
        <w:t xml:space="preserve">, </w:t>
      </w:r>
      <w:r w:rsidR="008A0CF4" w:rsidRPr="004D2766">
        <w:rPr>
          <w:sz w:val="22"/>
        </w:rPr>
        <w:t>modelling</w:t>
      </w:r>
      <w:r w:rsidRPr="004D2766">
        <w:rPr>
          <w:sz w:val="22"/>
        </w:rPr>
        <w:t xml:space="preserve">, discussions, songs, stories, games, using different cultural meal settings, and cooking experiences. </w:t>
      </w:r>
    </w:p>
    <w:p w:rsidR="00695AFD" w:rsidRPr="00883AFD" w:rsidRDefault="00695AFD" w:rsidP="00190196">
      <w:pPr>
        <w:pStyle w:val="NoSpacing"/>
        <w:numPr>
          <w:ilvl w:val="0"/>
          <w:numId w:val="6"/>
        </w:numPr>
        <w:jc w:val="both"/>
        <w:rPr>
          <w:rFonts w:cs="Arial"/>
          <w:lang w:val="en-AU"/>
        </w:rPr>
      </w:pPr>
      <w:r w:rsidRPr="00883AFD">
        <w:rPr>
          <w:rFonts w:cs="Arial"/>
        </w:rPr>
        <w:t>Meal times are</w:t>
      </w:r>
      <w:r w:rsidRPr="00883AFD">
        <w:rPr>
          <w:rFonts w:cs="Calibri"/>
        </w:rPr>
        <w:t xml:space="preserve"> relaxed, pleasant and unhurried. Children choose what to eat from their lunch boxes. Educators sit and eat with the children, maintaining </w:t>
      </w:r>
      <w:r w:rsidRPr="00883AFD">
        <w:t xml:space="preserve">good personal nutrition. They </w:t>
      </w:r>
      <w:r w:rsidRPr="00883AFD">
        <w:rPr>
          <w:rFonts w:cs="Calibri"/>
        </w:rPr>
        <w:t xml:space="preserve">help them open any sealed containers, and talk with them on topics of interest, including, but not limited to, </w:t>
      </w:r>
      <w:r w:rsidRPr="00883AFD">
        <w:t xml:space="preserve">healthy food and nutrition. </w:t>
      </w:r>
    </w:p>
    <w:p w:rsidR="00695AFD" w:rsidRPr="00883AFD" w:rsidRDefault="00695AFD" w:rsidP="00695AFD">
      <w:pPr>
        <w:pStyle w:val="NoSpacing"/>
        <w:ind w:left="360"/>
        <w:jc w:val="both"/>
        <w:rPr>
          <w:rFonts w:cs="Arial"/>
          <w:lang w:val="en-AU"/>
        </w:rPr>
      </w:pPr>
    </w:p>
    <w:p w:rsidR="00695AFD" w:rsidRPr="00883AFD" w:rsidRDefault="00695AFD" w:rsidP="00190196">
      <w:pPr>
        <w:numPr>
          <w:ilvl w:val="0"/>
          <w:numId w:val="6"/>
        </w:numPr>
        <w:autoSpaceDE w:val="0"/>
        <w:autoSpaceDN w:val="0"/>
        <w:adjustRightInd w:val="0"/>
        <w:jc w:val="both"/>
        <w:rPr>
          <w:rFonts w:cs="CenturyGothic"/>
          <w:sz w:val="22"/>
          <w:lang w:eastAsia="en-AU"/>
        </w:rPr>
      </w:pPr>
      <w:r w:rsidRPr="00883AFD">
        <w:rPr>
          <w:rFonts w:cs="CenturyGothic"/>
          <w:sz w:val="22"/>
          <w:lang w:eastAsia="en-AU"/>
        </w:rPr>
        <w:t xml:space="preserve">The </w:t>
      </w:r>
      <w:r w:rsidR="0063688C">
        <w:rPr>
          <w:rFonts w:cs="CenturyGothic"/>
          <w:sz w:val="22"/>
          <w:lang w:eastAsia="en-AU"/>
        </w:rPr>
        <w:t>Service</w:t>
      </w:r>
      <w:r w:rsidRPr="00883AFD">
        <w:rPr>
          <w:rFonts w:cs="CenturyGothic"/>
          <w:sz w:val="22"/>
          <w:lang w:eastAsia="en-AU"/>
        </w:rPr>
        <w:t xml:space="preserve"> maintains a list and photographs of children with special food requirements for health or medical reasons (e.g. allergies, intolerances). This information is displayed in the food </w:t>
      </w:r>
      <w:r w:rsidRPr="00883AFD">
        <w:rPr>
          <w:rFonts w:cs="CenturyGothic"/>
          <w:sz w:val="22"/>
          <w:lang w:eastAsia="en-AU"/>
        </w:rPr>
        <w:lastRenderedPageBreak/>
        <w:t xml:space="preserve">preparation areas, eating areas and strategically throughout the </w:t>
      </w:r>
      <w:r w:rsidR="0063688C">
        <w:rPr>
          <w:rFonts w:cs="CenturyGothic"/>
          <w:sz w:val="22"/>
          <w:lang w:eastAsia="en-AU"/>
        </w:rPr>
        <w:t>Service</w:t>
      </w:r>
      <w:r w:rsidRPr="00883AFD">
        <w:rPr>
          <w:rFonts w:cs="CenturyGothic"/>
          <w:sz w:val="22"/>
          <w:lang w:eastAsia="en-AU"/>
        </w:rPr>
        <w:t>. Relief educators are informed of these dietary requirements when they begin their shift.</w:t>
      </w:r>
      <w:r>
        <w:rPr>
          <w:rFonts w:cs="CenturyGothic"/>
          <w:sz w:val="22"/>
          <w:lang w:eastAsia="en-AU"/>
        </w:rPr>
        <w:t xml:space="preserve"> </w:t>
      </w:r>
    </w:p>
    <w:p w:rsidR="00695AFD" w:rsidRPr="00883AFD" w:rsidRDefault="00695AFD" w:rsidP="00695AFD">
      <w:pPr>
        <w:pStyle w:val="NoSpacing"/>
        <w:jc w:val="both"/>
        <w:rPr>
          <w:rFonts w:cs="Arial"/>
          <w:lang w:val="en-AU"/>
        </w:rPr>
      </w:pPr>
    </w:p>
    <w:p w:rsidR="00695AFD" w:rsidRPr="00883AFD" w:rsidRDefault="00695AFD" w:rsidP="00190196">
      <w:pPr>
        <w:pStyle w:val="NoSpacing"/>
        <w:numPr>
          <w:ilvl w:val="0"/>
          <w:numId w:val="6"/>
        </w:numPr>
        <w:jc w:val="both"/>
        <w:rPr>
          <w:rFonts w:cs="Arial"/>
          <w:lang w:val="en-AU"/>
        </w:rPr>
      </w:pPr>
      <w:r w:rsidRPr="00883AFD">
        <w:rPr>
          <w:rFonts w:cs="Arial"/>
          <w:lang w:val="en-AU"/>
        </w:rPr>
        <w:t>D</w:t>
      </w:r>
      <w:proofErr w:type="spellStart"/>
      <w:r w:rsidR="00643F2C" w:rsidRPr="00883AFD">
        <w:t>evelopmentally</w:t>
      </w:r>
      <w:proofErr w:type="spellEnd"/>
      <w:r w:rsidRPr="00883AFD">
        <w:t xml:space="preserve"> appropriate eating utensils and furniture are provided for each child. Chil</w:t>
      </w:r>
      <w:r w:rsidR="00275D3B">
        <w:t xml:space="preserve">dren </w:t>
      </w:r>
      <w:r w:rsidRPr="00883AFD">
        <w:t xml:space="preserve">are encouraged to be independent and develop social skills at meal times. </w:t>
      </w:r>
    </w:p>
    <w:p w:rsidR="00695AFD" w:rsidRPr="004D2766" w:rsidRDefault="00695AFD" w:rsidP="00695AFD">
      <w:pPr>
        <w:pStyle w:val="NoSpacing"/>
        <w:ind w:left="360"/>
        <w:jc w:val="both"/>
        <w:rPr>
          <w:rFonts w:cs="Arial"/>
          <w:lang w:val="en-AU"/>
        </w:rPr>
      </w:pPr>
    </w:p>
    <w:p w:rsidR="00695AFD" w:rsidRPr="00643F2C" w:rsidRDefault="00695AFD" w:rsidP="00C50ACE">
      <w:pPr>
        <w:numPr>
          <w:ilvl w:val="0"/>
          <w:numId w:val="6"/>
        </w:numPr>
        <w:spacing w:after="200" w:line="276" w:lineRule="auto"/>
        <w:jc w:val="both"/>
        <w:rPr>
          <w:sz w:val="22"/>
        </w:rPr>
      </w:pPr>
      <w:r w:rsidRPr="00643F2C">
        <w:rPr>
          <w:sz w:val="22"/>
        </w:rPr>
        <w:t xml:space="preserve">Food is never used to reward or punish children. Whilst children are encouraged to eat healthy food from their lunchboxes, they are not required to eat food they do not like or to eat more than they want. </w:t>
      </w:r>
    </w:p>
    <w:p w:rsidR="00695AFD" w:rsidRPr="00275D3B" w:rsidRDefault="00695AFD" w:rsidP="00275D3B">
      <w:pPr>
        <w:pStyle w:val="NoSpacing"/>
        <w:numPr>
          <w:ilvl w:val="0"/>
          <w:numId w:val="6"/>
        </w:numPr>
        <w:jc w:val="both"/>
        <w:rPr>
          <w:rFonts w:cs="Arial"/>
          <w:lang w:val="en-AU"/>
        </w:rPr>
      </w:pPr>
      <w:r w:rsidRPr="004D2766">
        <w:rPr>
          <w:rFonts w:cs="Calibri"/>
          <w:lang w:val="en-AU"/>
        </w:rPr>
        <w:t xml:space="preserve">Safe drinking water is readily accessible to </w:t>
      </w:r>
      <w:r w:rsidRPr="004D2766">
        <w:rPr>
          <w:rFonts w:cs="Calibri"/>
        </w:rPr>
        <w:t xml:space="preserve">children at all times, and educators encourage children to drink water at frequent intervals. </w:t>
      </w:r>
      <w:r w:rsidRPr="00275D3B">
        <w:rPr>
          <w:rFonts w:cs="Calibri"/>
        </w:rPr>
        <w:t xml:space="preserve"> </w:t>
      </w:r>
    </w:p>
    <w:p w:rsidR="00695AFD" w:rsidRPr="004D2766" w:rsidRDefault="00695AFD" w:rsidP="00695AFD">
      <w:pPr>
        <w:pStyle w:val="NoSpacing"/>
        <w:jc w:val="both"/>
        <w:rPr>
          <w:rFonts w:cs="Arial"/>
        </w:rPr>
      </w:pPr>
    </w:p>
    <w:p w:rsidR="00695AFD" w:rsidRPr="004D2766" w:rsidRDefault="00695AFD" w:rsidP="00190196">
      <w:pPr>
        <w:numPr>
          <w:ilvl w:val="0"/>
          <w:numId w:val="6"/>
        </w:numPr>
        <w:spacing w:after="200" w:line="276" w:lineRule="auto"/>
        <w:jc w:val="both"/>
        <w:rPr>
          <w:sz w:val="22"/>
        </w:rPr>
      </w:pPr>
      <w:r w:rsidRPr="004D2766">
        <w:rPr>
          <w:sz w:val="22"/>
        </w:rPr>
        <w:t xml:space="preserve">Educators follow all regulatory food handling and hygiene practices at meal times. These include handwashing, wearing gloves, using tongs to handle food, ensuring children do not share utensils or use those that have been dropped. (Refer to the </w:t>
      </w:r>
      <w:r w:rsidR="0063688C">
        <w:rPr>
          <w:sz w:val="22"/>
        </w:rPr>
        <w:t>Service</w:t>
      </w:r>
      <w:r w:rsidRPr="004D2766">
        <w:rPr>
          <w:sz w:val="22"/>
        </w:rPr>
        <w:t xml:space="preserve">’s </w:t>
      </w:r>
      <w:r w:rsidRPr="004D2766">
        <w:rPr>
          <w:i/>
          <w:sz w:val="22"/>
        </w:rPr>
        <w:t>Food Preparation, Storage and Handling Policy</w:t>
      </w:r>
      <w:r w:rsidRPr="004D2766">
        <w:rPr>
          <w:sz w:val="22"/>
        </w:rPr>
        <w:t xml:space="preserve">). </w:t>
      </w:r>
    </w:p>
    <w:p w:rsidR="00695AFD" w:rsidRPr="004D2766" w:rsidRDefault="00695AFD" w:rsidP="00190196">
      <w:pPr>
        <w:pStyle w:val="NoSpacing"/>
        <w:numPr>
          <w:ilvl w:val="0"/>
          <w:numId w:val="6"/>
        </w:numPr>
        <w:jc w:val="both"/>
        <w:rPr>
          <w:rFonts w:cs="Arial"/>
        </w:rPr>
      </w:pPr>
      <w:r w:rsidRPr="004D2766">
        <w:rPr>
          <w:rFonts w:cs="Arial"/>
        </w:rPr>
        <w:t xml:space="preserve">Educators discuss face-to-face with parents any concerns about a child who has not eaten well. </w:t>
      </w:r>
    </w:p>
    <w:p w:rsidR="00695AFD" w:rsidRPr="004D2766" w:rsidRDefault="00695AFD" w:rsidP="00695AFD">
      <w:pPr>
        <w:pStyle w:val="NoSpacing"/>
        <w:ind w:left="360"/>
        <w:jc w:val="both"/>
        <w:rPr>
          <w:rFonts w:cs="Arial"/>
        </w:rPr>
      </w:pPr>
    </w:p>
    <w:p w:rsidR="00695AFD" w:rsidRPr="00275D3B" w:rsidRDefault="00695AFD" w:rsidP="00275D3B">
      <w:pPr>
        <w:pStyle w:val="NoSpacing"/>
        <w:numPr>
          <w:ilvl w:val="0"/>
          <w:numId w:val="6"/>
        </w:numPr>
        <w:jc w:val="both"/>
        <w:rPr>
          <w:rFonts w:cs="Arial"/>
        </w:rPr>
      </w:pPr>
      <w:r w:rsidRPr="004D2766">
        <w:rPr>
          <w:rFonts w:cs="Arial"/>
        </w:rPr>
        <w:t>Educators monitor the safety and suitability</w:t>
      </w:r>
      <w:r w:rsidR="007C0574">
        <w:rPr>
          <w:rFonts w:cs="Arial"/>
        </w:rPr>
        <w:t xml:space="preserve"> of foods.</w:t>
      </w:r>
      <w:r>
        <w:rPr>
          <w:rFonts w:cs="Arial"/>
        </w:rPr>
        <w:t xml:space="preserve"> </w:t>
      </w:r>
      <w:bookmarkStart w:id="2" w:name="_GoBack"/>
      <w:bookmarkEnd w:id="2"/>
      <w:r w:rsidRPr="004D2766">
        <w:rPr>
          <w:rFonts w:cs="Arial"/>
        </w:rPr>
        <w:t xml:space="preserve">  </w:t>
      </w:r>
    </w:p>
    <w:p w:rsidR="00695AFD" w:rsidRPr="004D2766" w:rsidRDefault="00695AFD" w:rsidP="00695AFD">
      <w:pPr>
        <w:pStyle w:val="NoSpacing"/>
        <w:jc w:val="both"/>
      </w:pPr>
    </w:p>
    <w:p w:rsidR="008B47F2" w:rsidRPr="001C2523" w:rsidRDefault="008B47F2" w:rsidP="008B47F2">
      <w:pPr>
        <w:numPr>
          <w:ilvl w:val="0"/>
          <w:numId w:val="6"/>
        </w:numPr>
        <w:spacing w:after="200" w:line="276" w:lineRule="auto"/>
        <w:jc w:val="both"/>
        <w:rPr>
          <w:rFonts w:cs="Calibri"/>
          <w:b/>
          <w:sz w:val="22"/>
        </w:rPr>
      </w:pPr>
      <w:r w:rsidRPr="001C2523">
        <w:rPr>
          <w:rFonts w:cs="Calibri"/>
          <w:sz w:val="22"/>
        </w:rPr>
        <w:t>P</w:t>
      </w:r>
      <w:r w:rsidR="00275D3B">
        <w:rPr>
          <w:sz w:val="22"/>
        </w:rPr>
        <w:t>arents are asked to place a cold brick in their child’s lunch box.</w:t>
      </w:r>
      <w:r w:rsidRPr="001C2523">
        <w:rPr>
          <w:sz w:val="22"/>
        </w:rPr>
        <w:t xml:space="preserve"> The lunch box is to be clearly labelle</w:t>
      </w:r>
      <w:r w:rsidR="00275D3B">
        <w:rPr>
          <w:sz w:val="22"/>
        </w:rPr>
        <w:t xml:space="preserve">d with the child’s full name. </w:t>
      </w:r>
    </w:p>
    <w:p w:rsidR="00695AFD" w:rsidRPr="004D2766" w:rsidRDefault="00695AFD" w:rsidP="00190196">
      <w:pPr>
        <w:pStyle w:val="NoSpacing"/>
        <w:numPr>
          <w:ilvl w:val="0"/>
          <w:numId w:val="6"/>
        </w:numPr>
        <w:jc w:val="both"/>
        <w:rPr>
          <w:rFonts w:cs="Arial"/>
          <w:lang w:val="en-AU"/>
        </w:rPr>
      </w:pPr>
      <w:r w:rsidRPr="004D2766">
        <w:t xml:space="preserve">Birthdays are an important part of a child’s life, and educators and children are encouraged to celebrate them at the </w:t>
      </w:r>
      <w:r w:rsidR="0063688C">
        <w:t>Service</w:t>
      </w:r>
      <w:r w:rsidRPr="004D2766">
        <w:t xml:space="preserve">. Parents are welcome to bring </w:t>
      </w:r>
      <w:r w:rsidR="00275D3B">
        <w:t>a cake/</w:t>
      </w:r>
      <w:proofErr w:type="spellStart"/>
      <w:r w:rsidR="00275D3B">
        <w:t>iceblocks</w:t>
      </w:r>
      <w:proofErr w:type="spellEnd"/>
      <w:r w:rsidR="00275D3B">
        <w:t xml:space="preserve"> to share. </w:t>
      </w:r>
      <w:r w:rsidRPr="004D2766">
        <w:t xml:space="preserve"> </w:t>
      </w:r>
    </w:p>
    <w:p w:rsidR="00695AFD" w:rsidRPr="004D2766" w:rsidRDefault="00695AFD" w:rsidP="00695AFD">
      <w:pPr>
        <w:pStyle w:val="NoSpacing"/>
        <w:ind w:left="360"/>
        <w:jc w:val="both"/>
        <w:rPr>
          <w:rFonts w:cs="Arial"/>
          <w:lang w:val="en-AU"/>
        </w:rPr>
      </w:pPr>
    </w:p>
    <w:p w:rsidR="00695AFD" w:rsidRPr="004D2766" w:rsidRDefault="00695AFD" w:rsidP="00190196">
      <w:pPr>
        <w:numPr>
          <w:ilvl w:val="0"/>
          <w:numId w:val="6"/>
        </w:numPr>
        <w:jc w:val="left"/>
        <w:rPr>
          <w:sz w:val="22"/>
        </w:rPr>
      </w:pPr>
      <w:r w:rsidRPr="004D2766">
        <w:rPr>
          <w:rFonts w:cs="Calibri"/>
          <w:sz w:val="22"/>
        </w:rPr>
        <w:t xml:space="preserve">The </w:t>
      </w:r>
      <w:r w:rsidR="0063688C">
        <w:rPr>
          <w:rFonts w:cs="Calibri"/>
          <w:sz w:val="22"/>
        </w:rPr>
        <w:t>Service</w:t>
      </w:r>
      <w:r w:rsidRPr="004D2766">
        <w:rPr>
          <w:rFonts w:cs="Calibri"/>
          <w:sz w:val="22"/>
        </w:rPr>
        <w:t xml:space="preserve"> is a nut free zone, and educators take all reasonable steps to ensure this mandate is upheld. Children are actively discouraged from sharing food. Educators remove from lunch boxes any products suspected of containing nuts, and these products </w:t>
      </w:r>
      <w:r w:rsidRPr="004D2766">
        <w:rPr>
          <w:sz w:val="22"/>
        </w:rPr>
        <w:t xml:space="preserve">returned to parents when they collect their child. </w:t>
      </w:r>
    </w:p>
    <w:p w:rsidR="00695AFD" w:rsidRPr="004D2766" w:rsidRDefault="00695AFD" w:rsidP="00695AFD">
      <w:pPr>
        <w:rPr>
          <w:sz w:val="22"/>
        </w:rPr>
      </w:pPr>
    </w:p>
    <w:p w:rsidR="00695AFD" w:rsidRDefault="00695AFD" w:rsidP="00190196">
      <w:pPr>
        <w:pStyle w:val="NoSpacing"/>
        <w:numPr>
          <w:ilvl w:val="0"/>
          <w:numId w:val="6"/>
        </w:numPr>
        <w:jc w:val="both"/>
      </w:pPr>
      <w:r w:rsidRPr="004D2766">
        <w:t xml:space="preserve">Educators receive current information on nutrition for young children, with special regard to cultural preferences.   </w:t>
      </w:r>
    </w:p>
    <w:p w:rsidR="00695AFD" w:rsidRDefault="00695AFD" w:rsidP="00695AFD">
      <w:pPr>
        <w:pStyle w:val="NoSpacing"/>
        <w:jc w:val="both"/>
      </w:pPr>
    </w:p>
    <w:p w:rsidR="00695AFD" w:rsidRPr="00275D3B" w:rsidRDefault="00695AFD" w:rsidP="00275D3B">
      <w:pPr>
        <w:pBdr>
          <w:bottom w:val="single" w:sz="4" w:space="1" w:color="auto"/>
        </w:pBdr>
        <w:jc w:val="left"/>
        <w:rPr>
          <w:b/>
          <w:sz w:val="22"/>
        </w:rPr>
      </w:pPr>
      <w:r w:rsidRPr="005B1765">
        <w:rPr>
          <w:rFonts w:cs="Arial"/>
          <w:sz w:val="22"/>
        </w:rPr>
        <w:t xml:space="preserve"> </w:t>
      </w:r>
    </w:p>
    <w:p w:rsidR="00695AFD" w:rsidRPr="006E09DD" w:rsidRDefault="00695AFD" w:rsidP="009C60C5">
      <w:pPr>
        <w:pBdr>
          <w:bottom w:val="single" w:sz="4" w:space="1" w:color="auto"/>
        </w:pBdr>
        <w:jc w:val="left"/>
        <w:rPr>
          <w:sz w:val="22"/>
        </w:rPr>
      </w:pPr>
      <w:r w:rsidRPr="006E09DD">
        <w:rPr>
          <w:b/>
          <w:sz w:val="22"/>
        </w:rPr>
        <w:t>Responsibilities of parents</w:t>
      </w:r>
    </w:p>
    <w:p w:rsidR="00695AFD" w:rsidRPr="006E09DD" w:rsidRDefault="00695AFD" w:rsidP="00695AFD">
      <w:pPr>
        <w:rPr>
          <w:i/>
          <w:sz w:val="22"/>
        </w:rPr>
      </w:pPr>
    </w:p>
    <w:p w:rsidR="00695AFD" w:rsidRDefault="00695AFD" w:rsidP="00190196">
      <w:pPr>
        <w:numPr>
          <w:ilvl w:val="0"/>
          <w:numId w:val="2"/>
        </w:numPr>
        <w:spacing w:after="200" w:line="276" w:lineRule="auto"/>
        <w:jc w:val="both"/>
        <w:rPr>
          <w:rFonts w:cs="Calibri"/>
          <w:sz w:val="22"/>
        </w:rPr>
      </w:pPr>
      <w:r>
        <w:rPr>
          <w:rFonts w:cs="ComicSansMS"/>
          <w:sz w:val="22"/>
          <w:lang w:eastAsia="en-AU"/>
        </w:rPr>
        <w:t xml:space="preserve">To provide food and beverages for their child which are consistent with the </w:t>
      </w:r>
      <w:r w:rsidR="0063688C">
        <w:rPr>
          <w:rFonts w:cs="Calibri"/>
          <w:sz w:val="22"/>
        </w:rPr>
        <w:t>Service</w:t>
      </w:r>
      <w:r w:rsidRPr="004D2766">
        <w:rPr>
          <w:rFonts w:cs="Calibri"/>
          <w:sz w:val="22"/>
        </w:rPr>
        <w:t xml:space="preserve">’s </w:t>
      </w:r>
      <w:r w:rsidRPr="00FA1575">
        <w:rPr>
          <w:rFonts w:cs="Calibri"/>
          <w:i/>
          <w:sz w:val="22"/>
        </w:rPr>
        <w:t>Nutrition, Food and Beverage Policy</w:t>
      </w:r>
      <w:r>
        <w:rPr>
          <w:rFonts w:cs="Calibri"/>
          <w:sz w:val="22"/>
        </w:rPr>
        <w:t>.</w:t>
      </w:r>
    </w:p>
    <w:p w:rsidR="00695AFD" w:rsidRPr="004E2CC9" w:rsidRDefault="00695AFD" w:rsidP="00190196">
      <w:pPr>
        <w:numPr>
          <w:ilvl w:val="0"/>
          <w:numId w:val="2"/>
        </w:numPr>
        <w:spacing w:after="200" w:line="276" w:lineRule="auto"/>
        <w:jc w:val="both"/>
        <w:rPr>
          <w:rFonts w:cs="Calibri"/>
          <w:sz w:val="22"/>
        </w:rPr>
      </w:pPr>
      <w:r w:rsidRPr="004E2CC9">
        <w:rPr>
          <w:rFonts w:cs="Calibri"/>
          <w:sz w:val="22"/>
        </w:rPr>
        <w:t xml:space="preserve">To provide the </w:t>
      </w:r>
      <w:r w:rsidR="0063688C">
        <w:rPr>
          <w:rFonts w:cs="Calibri"/>
          <w:sz w:val="22"/>
        </w:rPr>
        <w:t>Service</w:t>
      </w:r>
      <w:r w:rsidRPr="004E2CC9">
        <w:rPr>
          <w:rFonts w:cs="Calibri"/>
          <w:sz w:val="22"/>
        </w:rPr>
        <w:t xml:space="preserve"> with details of their child’s known food allergies at enrolment, and to </w:t>
      </w:r>
      <w:r>
        <w:rPr>
          <w:rFonts w:cs="Calibri"/>
          <w:sz w:val="22"/>
        </w:rPr>
        <w:t xml:space="preserve">inform the </w:t>
      </w:r>
      <w:r w:rsidR="0063688C">
        <w:rPr>
          <w:rFonts w:cs="Calibri"/>
          <w:sz w:val="22"/>
        </w:rPr>
        <w:t>Service</w:t>
      </w:r>
      <w:r>
        <w:rPr>
          <w:rFonts w:cs="Calibri"/>
          <w:sz w:val="22"/>
        </w:rPr>
        <w:t xml:space="preserve"> immediately any changes occur. </w:t>
      </w:r>
      <w:r w:rsidRPr="004E2CC9">
        <w:rPr>
          <w:rFonts w:cs="Calibri"/>
          <w:sz w:val="22"/>
        </w:rPr>
        <w:t xml:space="preserve"> </w:t>
      </w:r>
    </w:p>
    <w:p w:rsidR="00695AFD" w:rsidRPr="004E2CC9" w:rsidRDefault="00695AFD" w:rsidP="00190196">
      <w:pPr>
        <w:numPr>
          <w:ilvl w:val="0"/>
          <w:numId w:val="2"/>
        </w:numPr>
        <w:autoSpaceDE w:val="0"/>
        <w:autoSpaceDN w:val="0"/>
        <w:adjustRightInd w:val="0"/>
        <w:spacing w:after="200" w:line="276" w:lineRule="auto"/>
        <w:jc w:val="both"/>
        <w:rPr>
          <w:rFonts w:cs="ComicSansMS"/>
          <w:sz w:val="22"/>
          <w:lang w:eastAsia="en-AU"/>
        </w:rPr>
      </w:pPr>
      <w:r w:rsidRPr="004E2CC9">
        <w:rPr>
          <w:rFonts w:cs="Calibri"/>
          <w:sz w:val="22"/>
        </w:rPr>
        <w:t>To discuss their child’s food allergies, i</w:t>
      </w:r>
      <w:r>
        <w:rPr>
          <w:rFonts w:cs="Calibri"/>
          <w:sz w:val="22"/>
        </w:rPr>
        <w:t>f</w:t>
      </w:r>
      <w:r w:rsidRPr="004E2CC9">
        <w:rPr>
          <w:rFonts w:cs="Calibri"/>
          <w:sz w:val="22"/>
        </w:rPr>
        <w:t xml:space="preserve"> any, with them (older children) and to ensure they understand the importance of </w:t>
      </w:r>
      <w:r>
        <w:rPr>
          <w:rFonts w:cs="Calibri"/>
          <w:sz w:val="22"/>
        </w:rPr>
        <w:t xml:space="preserve">not sharing food. </w:t>
      </w:r>
    </w:p>
    <w:p w:rsidR="006D5050" w:rsidRPr="006D5050" w:rsidRDefault="006D5050" w:rsidP="006D5050">
      <w:pPr>
        <w:pBdr>
          <w:bottom w:val="single" w:sz="4" w:space="1" w:color="auto"/>
        </w:pBdr>
        <w:ind w:left="360"/>
        <w:jc w:val="left"/>
        <w:rPr>
          <w:b/>
          <w:sz w:val="22"/>
        </w:rPr>
      </w:pPr>
      <w:r>
        <w:rPr>
          <w:b/>
          <w:sz w:val="22"/>
        </w:rPr>
        <w:t xml:space="preserve">Procedures and </w:t>
      </w:r>
      <w:r w:rsidR="006153B5">
        <w:rPr>
          <w:b/>
          <w:sz w:val="22"/>
        </w:rPr>
        <w:t>f</w:t>
      </w:r>
      <w:r>
        <w:rPr>
          <w:b/>
          <w:sz w:val="22"/>
        </w:rPr>
        <w:t>orms</w:t>
      </w:r>
    </w:p>
    <w:p w:rsidR="006D5050" w:rsidRPr="006D5050" w:rsidRDefault="006D5050" w:rsidP="006745EC">
      <w:pPr>
        <w:pStyle w:val="ListParagraph"/>
        <w:jc w:val="both"/>
        <w:rPr>
          <w:sz w:val="22"/>
        </w:rPr>
      </w:pPr>
    </w:p>
    <w:p w:rsidR="00275D3B" w:rsidRDefault="006D5050" w:rsidP="00275D3B">
      <w:pPr>
        <w:pStyle w:val="ListParagraph"/>
        <w:numPr>
          <w:ilvl w:val="0"/>
          <w:numId w:val="2"/>
        </w:numPr>
        <w:pBdr>
          <w:bottom w:val="single" w:sz="4" w:space="1" w:color="auto"/>
        </w:pBdr>
        <w:jc w:val="left"/>
        <w:rPr>
          <w:sz w:val="22"/>
        </w:rPr>
      </w:pPr>
      <w:r w:rsidRPr="006D5050">
        <w:rPr>
          <w:sz w:val="22"/>
        </w:rPr>
        <w:lastRenderedPageBreak/>
        <w:t>Daily Feedback Sheet</w:t>
      </w:r>
    </w:p>
    <w:p w:rsidR="00695AFD" w:rsidRPr="00275D3B" w:rsidRDefault="00275D3B" w:rsidP="00275D3B">
      <w:pPr>
        <w:pBdr>
          <w:bottom w:val="single" w:sz="4" w:space="1" w:color="auto"/>
        </w:pBdr>
        <w:ind w:left="360"/>
        <w:jc w:val="left"/>
        <w:rPr>
          <w:sz w:val="22"/>
        </w:rPr>
      </w:pPr>
      <w:r w:rsidRPr="00275D3B">
        <w:rPr>
          <w:b/>
          <w:sz w:val="22"/>
        </w:rPr>
        <w:t xml:space="preserve">  Links to other policies</w:t>
      </w:r>
    </w:p>
    <w:p w:rsidR="00695AFD" w:rsidRPr="006E09DD" w:rsidRDefault="00695AFD" w:rsidP="00695AFD">
      <w:pPr>
        <w:rPr>
          <w:sz w:val="22"/>
        </w:rPr>
      </w:pPr>
    </w:p>
    <w:p w:rsidR="00695AFD" w:rsidRDefault="00695AFD" w:rsidP="00190196">
      <w:pPr>
        <w:numPr>
          <w:ilvl w:val="0"/>
          <w:numId w:val="3"/>
        </w:numPr>
        <w:jc w:val="left"/>
        <w:rPr>
          <w:sz w:val="22"/>
        </w:rPr>
      </w:pPr>
      <w:r>
        <w:rPr>
          <w:sz w:val="22"/>
        </w:rPr>
        <w:t>Enrolment and Orientation Policy</w:t>
      </w:r>
    </w:p>
    <w:p w:rsidR="00695AFD" w:rsidRDefault="00695AFD" w:rsidP="00190196">
      <w:pPr>
        <w:numPr>
          <w:ilvl w:val="0"/>
          <w:numId w:val="3"/>
        </w:numPr>
        <w:jc w:val="left"/>
        <w:rPr>
          <w:sz w:val="22"/>
        </w:rPr>
      </w:pPr>
      <w:r>
        <w:rPr>
          <w:sz w:val="22"/>
        </w:rPr>
        <w:t xml:space="preserve">Excursion Policy </w:t>
      </w:r>
    </w:p>
    <w:p w:rsidR="00695AFD" w:rsidRPr="006E09DD" w:rsidRDefault="00695AFD" w:rsidP="00190196">
      <w:pPr>
        <w:numPr>
          <w:ilvl w:val="0"/>
          <w:numId w:val="3"/>
        </w:numPr>
        <w:jc w:val="left"/>
        <w:rPr>
          <w:sz w:val="22"/>
        </w:rPr>
      </w:pPr>
      <w:r>
        <w:rPr>
          <w:sz w:val="22"/>
        </w:rPr>
        <w:t xml:space="preserve">Injuries, Injury, Trauma and Illness Policy </w:t>
      </w:r>
    </w:p>
    <w:p w:rsidR="00695AFD" w:rsidRDefault="00695AFD" w:rsidP="00190196">
      <w:pPr>
        <w:numPr>
          <w:ilvl w:val="0"/>
          <w:numId w:val="3"/>
        </w:numPr>
        <w:jc w:val="left"/>
        <w:rPr>
          <w:sz w:val="22"/>
        </w:rPr>
      </w:pPr>
      <w:r>
        <w:rPr>
          <w:sz w:val="22"/>
        </w:rPr>
        <w:t>Medical Conditions Policy</w:t>
      </w:r>
    </w:p>
    <w:p w:rsidR="00695AFD" w:rsidRDefault="00695AFD" w:rsidP="00190196">
      <w:pPr>
        <w:numPr>
          <w:ilvl w:val="0"/>
          <w:numId w:val="3"/>
        </w:numPr>
        <w:jc w:val="left"/>
        <w:rPr>
          <w:sz w:val="22"/>
        </w:rPr>
      </w:pPr>
      <w:r>
        <w:rPr>
          <w:sz w:val="22"/>
        </w:rPr>
        <w:t xml:space="preserve">Student, Volunteers and Visitors Policy </w:t>
      </w:r>
    </w:p>
    <w:p w:rsidR="00695AFD" w:rsidRPr="006E09DD" w:rsidRDefault="00695AFD" w:rsidP="00695AFD">
      <w:pPr>
        <w:ind w:left="360"/>
        <w:rPr>
          <w:sz w:val="22"/>
        </w:rPr>
      </w:pPr>
    </w:p>
    <w:p w:rsidR="00695AFD" w:rsidRPr="0083267D" w:rsidRDefault="00695AFD" w:rsidP="00695AFD">
      <w:pPr>
        <w:pBdr>
          <w:bottom w:val="single" w:sz="4" w:space="1" w:color="auto"/>
        </w:pBdr>
        <w:jc w:val="both"/>
        <w:rPr>
          <w:b/>
          <w:sz w:val="22"/>
        </w:rPr>
      </w:pPr>
      <w:r w:rsidRPr="0083267D">
        <w:rPr>
          <w:b/>
          <w:sz w:val="22"/>
        </w:rPr>
        <w:t xml:space="preserve">Links Education and Care </w:t>
      </w:r>
      <w:r w:rsidR="009C60C5">
        <w:rPr>
          <w:b/>
          <w:sz w:val="22"/>
        </w:rPr>
        <w:t xml:space="preserve">Services </w:t>
      </w:r>
      <w:r w:rsidRPr="0083267D">
        <w:rPr>
          <w:b/>
          <w:sz w:val="22"/>
        </w:rPr>
        <w:t>National Regulations</w:t>
      </w:r>
      <w:r>
        <w:rPr>
          <w:b/>
          <w:sz w:val="22"/>
        </w:rPr>
        <w:t xml:space="preserve"> 2011, </w:t>
      </w:r>
      <w:r w:rsidRPr="0083267D">
        <w:rPr>
          <w:b/>
          <w:sz w:val="22"/>
        </w:rPr>
        <w:t>National Quality Standard</w:t>
      </w:r>
      <w:r>
        <w:rPr>
          <w:b/>
          <w:sz w:val="22"/>
        </w:rPr>
        <w:t xml:space="preserve"> 2011</w:t>
      </w:r>
    </w:p>
    <w:tbl>
      <w:tblPr>
        <w:tblpPr w:leftFromText="180" w:rightFromText="180" w:bottomFromText="200" w:vertAnchor="text" w:horzAnchor="margin" w:tblpY="281"/>
        <w:tblW w:w="92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8"/>
        <w:gridCol w:w="854"/>
        <w:gridCol w:w="7746"/>
      </w:tblGrid>
      <w:tr w:rsidR="00695AFD" w:rsidRPr="00677E34" w:rsidTr="005E18A5">
        <w:trPr>
          <w:trHeight w:val="311"/>
        </w:trPr>
        <w:tc>
          <w:tcPr>
            <w:tcW w:w="678" w:type="dxa"/>
            <w:vMerge w:val="restart"/>
          </w:tcPr>
          <w:p w:rsidR="00695AFD" w:rsidRPr="00677E34" w:rsidRDefault="00695AFD" w:rsidP="005E18A5">
            <w:pPr>
              <w:pStyle w:val="NoSpacing"/>
              <w:rPr>
                <w:rFonts w:cs="Calibri"/>
                <w:sz w:val="18"/>
                <w:szCs w:val="18"/>
              </w:rPr>
            </w:pPr>
            <w:r w:rsidRPr="00677E34">
              <w:rPr>
                <w:rFonts w:cs="Calibri"/>
                <w:sz w:val="18"/>
                <w:szCs w:val="18"/>
              </w:rPr>
              <w:t>Regs</w:t>
            </w:r>
          </w:p>
        </w:tc>
        <w:tc>
          <w:tcPr>
            <w:tcW w:w="854" w:type="dxa"/>
          </w:tcPr>
          <w:p w:rsidR="00695AFD" w:rsidRPr="00677E34" w:rsidRDefault="00695AFD" w:rsidP="005E18A5">
            <w:pPr>
              <w:pStyle w:val="NoSpacing"/>
              <w:rPr>
                <w:rFonts w:cs="Calibri"/>
                <w:sz w:val="18"/>
                <w:szCs w:val="18"/>
              </w:rPr>
            </w:pPr>
            <w:r w:rsidRPr="00677E34">
              <w:rPr>
                <w:rFonts w:cs="Calibri"/>
                <w:sz w:val="18"/>
                <w:szCs w:val="18"/>
              </w:rPr>
              <w:t>77</w:t>
            </w:r>
          </w:p>
        </w:tc>
        <w:tc>
          <w:tcPr>
            <w:tcW w:w="7746" w:type="dxa"/>
          </w:tcPr>
          <w:p w:rsidR="00695AFD" w:rsidRPr="00677E34" w:rsidRDefault="00695AFD" w:rsidP="005E18A5">
            <w:pPr>
              <w:pStyle w:val="NoSpacing"/>
              <w:rPr>
                <w:rFonts w:cs="Calibri"/>
                <w:color w:val="000000"/>
                <w:sz w:val="18"/>
                <w:szCs w:val="18"/>
              </w:rPr>
            </w:pPr>
            <w:r w:rsidRPr="00677E34">
              <w:rPr>
                <w:rFonts w:cs="Calibri"/>
                <w:color w:val="000000"/>
                <w:sz w:val="18"/>
                <w:szCs w:val="18"/>
              </w:rPr>
              <w:t xml:space="preserve">Health, hygiene and safe food practices </w:t>
            </w:r>
          </w:p>
        </w:tc>
      </w:tr>
      <w:tr w:rsidR="00695AFD" w:rsidRPr="00677E34" w:rsidTr="005E18A5">
        <w:trPr>
          <w:trHeight w:val="368"/>
        </w:trPr>
        <w:tc>
          <w:tcPr>
            <w:tcW w:w="678" w:type="dxa"/>
            <w:vMerge/>
          </w:tcPr>
          <w:p w:rsidR="00695AFD" w:rsidRPr="00677E34" w:rsidRDefault="00695AFD" w:rsidP="005E18A5">
            <w:pPr>
              <w:pStyle w:val="NoSpacing"/>
              <w:rPr>
                <w:rFonts w:cs="Calibri"/>
                <w:sz w:val="18"/>
                <w:szCs w:val="18"/>
              </w:rPr>
            </w:pPr>
          </w:p>
        </w:tc>
        <w:tc>
          <w:tcPr>
            <w:tcW w:w="854" w:type="dxa"/>
          </w:tcPr>
          <w:p w:rsidR="00695AFD" w:rsidRPr="00677E34" w:rsidRDefault="00695AFD" w:rsidP="005E18A5">
            <w:pPr>
              <w:pStyle w:val="NoSpacing"/>
              <w:rPr>
                <w:rFonts w:cs="Calibri"/>
                <w:sz w:val="18"/>
                <w:szCs w:val="18"/>
              </w:rPr>
            </w:pPr>
            <w:r w:rsidRPr="00677E34">
              <w:rPr>
                <w:rFonts w:cs="Calibri"/>
                <w:sz w:val="18"/>
                <w:szCs w:val="18"/>
              </w:rPr>
              <w:t>78</w:t>
            </w:r>
          </w:p>
        </w:tc>
        <w:tc>
          <w:tcPr>
            <w:tcW w:w="7746" w:type="dxa"/>
          </w:tcPr>
          <w:p w:rsidR="00695AFD" w:rsidRPr="00677E34" w:rsidRDefault="00695AFD" w:rsidP="005E18A5">
            <w:pPr>
              <w:pStyle w:val="NoSpacing"/>
              <w:rPr>
                <w:rFonts w:cs="Calibri"/>
                <w:color w:val="000000"/>
                <w:sz w:val="18"/>
                <w:szCs w:val="18"/>
              </w:rPr>
            </w:pPr>
            <w:r w:rsidRPr="00677E34">
              <w:rPr>
                <w:rFonts w:cs="Calibri"/>
                <w:color w:val="000000"/>
                <w:sz w:val="18"/>
                <w:szCs w:val="18"/>
              </w:rPr>
              <w:t>Food and beverages</w:t>
            </w:r>
          </w:p>
        </w:tc>
      </w:tr>
      <w:tr w:rsidR="00695AFD" w:rsidRPr="00677E34" w:rsidTr="005E18A5">
        <w:trPr>
          <w:trHeight w:val="368"/>
        </w:trPr>
        <w:tc>
          <w:tcPr>
            <w:tcW w:w="678" w:type="dxa"/>
            <w:vMerge/>
          </w:tcPr>
          <w:p w:rsidR="00695AFD" w:rsidRPr="00677E34" w:rsidRDefault="00695AFD" w:rsidP="005E18A5">
            <w:pPr>
              <w:pStyle w:val="NoSpacing"/>
              <w:rPr>
                <w:rFonts w:cs="Calibri"/>
                <w:sz w:val="18"/>
                <w:szCs w:val="18"/>
              </w:rPr>
            </w:pPr>
          </w:p>
        </w:tc>
        <w:tc>
          <w:tcPr>
            <w:tcW w:w="854" w:type="dxa"/>
          </w:tcPr>
          <w:p w:rsidR="00695AFD" w:rsidRPr="00677E34" w:rsidRDefault="00695AFD" w:rsidP="005E18A5">
            <w:pPr>
              <w:pStyle w:val="NoSpacing"/>
              <w:rPr>
                <w:rFonts w:cs="Calibri"/>
                <w:sz w:val="18"/>
                <w:szCs w:val="18"/>
              </w:rPr>
            </w:pPr>
            <w:r>
              <w:rPr>
                <w:rFonts w:cs="Calibri"/>
                <w:sz w:val="18"/>
                <w:szCs w:val="18"/>
              </w:rPr>
              <w:t>90</w:t>
            </w:r>
          </w:p>
        </w:tc>
        <w:tc>
          <w:tcPr>
            <w:tcW w:w="7746" w:type="dxa"/>
          </w:tcPr>
          <w:p w:rsidR="00695AFD" w:rsidRPr="00677E34" w:rsidRDefault="00695AFD" w:rsidP="005E18A5">
            <w:pPr>
              <w:pStyle w:val="NoSpacing"/>
              <w:rPr>
                <w:rFonts w:cs="Calibri"/>
                <w:color w:val="000000"/>
                <w:sz w:val="18"/>
                <w:szCs w:val="18"/>
              </w:rPr>
            </w:pPr>
            <w:r>
              <w:rPr>
                <w:rFonts w:cs="Calibri"/>
                <w:color w:val="000000"/>
                <w:sz w:val="18"/>
                <w:szCs w:val="18"/>
              </w:rPr>
              <w:t>Medical conditions policy</w:t>
            </w:r>
          </w:p>
        </w:tc>
      </w:tr>
      <w:tr w:rsidR="00695AFD" w:rsidRPr="00677E34" w:rsidTr="005E18A5">
        <w:trPr>
          <w:trHeight w:val="368"/>
        </w:trPr>
        <w:tc>
          <w:tcPr>
            <w:tcW w:w="678" w:type="dxa"/>
            <w:vMerge/>
          </w:tcPr>
          <w:p w:rsidR="00695AFD" w:rsidRPr="00677E34" w:rsidRDefault="00695AFD" w:rsidP="005E18A5">
            <w:pPr>
              <w:pStyle w:val="NoSpacing"/>
              <w:rPr>
                <w:rFonts w:cs="Calibri"/>
                <w:sz w:val="18"/>
                <w:szCs w:val="18"/>
              </w:rPr>
            </w:pPr>
          </w:p>
        </w:tc>
        <w:tc>
          <w:tcPr>
            <w:tcW w:w="854" w:type="dxa"/>
          </w:tcPr>
          <w:p w:rsidR="00695AFD" w:rsidRPr="00677E34" w:rsidRDefault="00695AFD" w:rsidP="005E18A5">
            <w:pPr>
              <w:pStyle w:val="NoSpacing"/>
              <w:rPr>
                <w:rFonts w:cs="Calibri"/>
                <w:sz w:val="18"/>
                <w:szCs w:val="18"/>
              </w:rPr>
            </w:pPr>
            <w:r>
              <w:rPr>
                <w:rFonts w:cs="Calibri"/>
                <w:sz w:val="18"/>
                <w:szCs w:val="18"/>
              </w:rPr>
              <w:t>91</w:t>
            </w:r>
          </w:p>
        </w:tc>
        <w:tc>
          <w:tcPr>
            <w:tcW w:w="7746" w:type="dxa"/>
          </w:tcPr>
          <w:p w:rsidR="00695AFD" w:rsidRPr="00677E34" w:rsidRDefault="00695AFD" w:rsidP="005E18A5">
            <w:pPr>
              <w:pStyle w:val="NoSpacing"/>
              <w:rPr>
                <w:rFonts w:cs="Calibri"/>
                <w:color w:val="000000"/>
                <w:sz w:val="18"/>
                <w:szCs w:val="18"/>
              </w:rPr>
            </w:pPr>
            <w:r>
              <w:rPr>
                <w:rFonts w:cs="Calibri"/>
                <w:color w:val="000000"/>
                <w:sz w:val="18"/>
                <w:szCs w:val="18"/>
              </w:rPr>
              <w:t xml:space="preserve">Medical conditions policy to be provided to parents </w:t>
            </w:r>
          </w:p>
        </w:tc>
      </w:tr>
      <w:tr w:rsidR="00695AFD" w:rsidRPr="00677E34" w:rsidTr="005E18A5">
        <w:trPr>
          <w:trHeight w:val="403"/>
        </w:trPr>
        <w:tc>
          <w:tcPr>
            <w:tcW w:w="0" w:type="auto"/>
            <w:vMerge/>
            <w:vAlign w:val="center"/>
          </w:tcPr>
          <w:p w:rsidR="00695AFD" w:rsidRPr="00677E34" w:rsidRDefault="00695AFD" w:rsidP="005E18A5">
            <w:pPr>
              <w:pStyle w:val="NoSpacing"/>
              <w:rPr>
                <w:rFonts w:cs="Calibri"/>
                <w:sz w:val="18"/>
                <w:szCs w:val="18"/>
              </w:rPr>
            </w:pPr>
          </w:p>
        </w:tc>
        <w:tc>
          <w:tcPr>
            <w:tcW w:w="854" w:type="dxa"/>
          </w:tcPr>
          <w:p w:rsidR="00695AFD" w:rsidRPr="00677E34" w:rsidRDefault="00695AFD" w:rsidP="005E18A5">
            <w:pPr>
              <w:pStyle w:val="NoSpacing"/>
              <w:rPr>
                <w:rFonts w:cs="Calibri"/>
                <w:sz w:val="18"/>
                <w:szCs w:val="18"/>
              </w:rPr>
            </w:pPr>
            <w:r w:rsidRPr="00677E34">
              <w:rPr>
                <w:rFonts w:cs="Calibri"/>
                <w:sz w:val="18"/>
                <w:szCs w:val="18"/>
              </w:rPr>
              <w:t>162</w:t>
            </w:r>
          </w:p>
        </w:tc>
        <w:tc>
          <w:tcPr>
            <w:tcW w:w="7746" w:type="dxa"/>
          </w:tcPr>
          <w:p w:rsidR="00695AFD" w:rsidRPr="00677E34" w:rsidRDefault="00695AFD" w:rsidP="005E18A5">
            <w:pPr>
              <w:pStyle w:val="NoSpacing"/>
              <w:rPr>
                <w:rFonts w:cs="Calibri"/>
                <w:color w:val="000000"/>
                <w:sz w:val="18"/>
                <w:szCs w:val="18"/>
              </w:rPr>
            </w:pPr>
            <w:r w:rsidRPr="00677E34">
              <w:rPr>
                <w:rFonts w:cs="Calibri"/>
                <w:color w:val="000000"/>
                <w:sz w:val="18"/>
                <w:szCs w:val="18"/>
              </w:rPr>
              <w:t xml:space="preserve">Health information to be kept in enrolment record </w:t>
            </w:r>
          </w:p>
        </w:tc>
      </w:tr>
      <w:tr w:rsidR="00695AFD" w:rsidRPr="00677E34" w:rsidTr="005E18A5">
        <w:trPr>
          <w:trHeight w:val="403"/>
        </w:trPr>
        <w:tc>
          <w:tcPr>
            <w:tcW w:w="0" w:type="auto"/>
            <w:vMerge/>
            <w:vAlign w:val="center"/>
          </w:tcPr>
          <w:p w:rsidR="00695AFD" w:rsidRPr="00677E34" w:rsidRDefault="00695AFD" w:rsidP="005E18A5">
            <w:pPr>
              <w:pStyle w:val="NoSpacing"/>
              <w:rPr>
                <w:rFonts w:cs="Calibri"/>
                <w:sz w:val="18"/>
                <w:szCs w:val="18"/>
              </w:rPr>
            </w:pPr>
          </w:p>
        </w:tc>
        <w:tc>
          <w:tcPr>
            <w:tcW w:w="854" w:type="dxa"/>
          </w:tcPr>
          <w:p w:rsidR="00695AFD" w:rsidRPr="00677E34" w:rsidRDefault="00695AFD" w:rsidP="005E18A5">
            <w:pPr>
              <w:pStyle w:val="NoSpacing"/>
              <w:rPr>
                <w:rFonts w:cs="Calibri"/>
                <w:sz w:val="18"/>
                <w:szCs w:val="18"/>
              </w:rPr>
            </w:pPr>
            <w:r w:rsidRPr="00677E34">
              <w:rPr>
                <w:rFonts w:cs="Calibri"/>
                <w:sz w:val="18"/>
                <w:szCs w:val="18"/>
              </w:rPr>
              <w:t>168</w:t>
            </w:r>
          </w:p>
        </w:tc>
        <w:tc>
          <w:tcPr>
            <w:tcW w:w="7746" w:type="dxa"/>
          </w:tcPr>
          <w:p w:rsidR="00695AFD" w:rsidRPr="00677E34" w:rsidRDefault="00695AFD" w:rsidP="005E18A5">
            <w:pPr>
              <w:pStyle w:val="NoSpacing"/>
              <w:rPr>
                <w:rFonts w:cs="Calibri"/>
                <w:color w:val="000000"/>
                <w:sz w:val="18"/>
                <w:szCs w:val="18"/>
              </w:rPr>
            </w:pPr>
            <w:r w:rsidRPr="00677E34">
              <w:rPr>
                <w:rFonts w:cs="Calibri"/>
                <w:color w:val="000000"/>
                <w:sz w:val="18"/>
                <w:szCs w:val="18"/>
              </w:rPr>
              <w:t>Education and care service must have policies and procedures</w:t>
            </w:r>
          </w:p>
        </w:tc>
      </w:tr>
    </w:tbl>
    <w:p w:rsidR="00695AFD" w:rsidRPr="00EE1650" w:rsidRDefault="00695AFD" w:rsidP="00695AFD">
      <w:pPr>
        <w:rPr>
          <w:vanish/>
        </w:rPr>
      </w:pPr>
    </w:p>
    <w:p w:rsidR="00695AFD" w:rsidRDefault="00C03B2B" w:rsidP="00695AFD">
      <w:pPr>
        <w:pStyle w:val="NoSpacing"/>
        <w:jc w:val="both"/>
        <w:rPr>
          <w:rFonts w:cs="Arial"/>
          <w:bCs/>
        </w:rPr>
      </w:pPr>
      <w:r>
        <w:rPr>
          <w:rFonts w:cs="Arial"/>
          <w:bCs/>
        </w:rPr>
        <w:t>X</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tblGrid>
      <w:tr w:rsidR="00C03B2B" w:rsidRPr="004E2CC9" w:rsidTr="00A66593">
        <w:tc>
          <w:tcPr>
            <w:tcW w:w="667" w:type="dxa"/>
          </w:tcPr>
          <w:p w:rsidR="00C03B2B" w:rsidRPr="004E2CC9" w:rsidRDefault="00C03B2B" w:rsidP="00A66593">
            <w:pPr>
              <w:rPr>
                <w:rFonts w:cs="Calibri"/>
                <w:sz w:val="18"/>
                <w:szCs w:val="18"/>
              </w:rPr>
            </w:pPr>
            <w:r w:rsidRPr="004E2CC9">
              <w:rPr>
                <w:rFonts w:cs="Calibri"/>
                <w:sz w:val="18"/>
                <w:szCs w:val="18"/>
              </w:rPr>
              <w:t>QA</w:t>
            </w:r>
          </w:p>
        </w:tc>
        <w:tc>
          <w:tcPr>
            <w:tcW w:w="822" w:type="dxa"/>
          </w:tcPr>
          <w:p w:rsidR="00C03B2B" w:rsidRPr="004E2CC9" w:rsidRDefault="00C03B2B" w:rsidP="00A66593">
            <w:pPr>
              <w:rPr>
                <w:rFonts w:cs="Calibri"/>
                <w:sz w:val="18"/>
                <w:szCs w:val="18"/>
              </w:rPr>
            </w:pPr>
            <w:r w:rsidRPr="004E2CC9">
              <w:rPr>
                <w:rFonts w:cs="Calibri"/>
                <w:sz w:val="18"/>
                <w:szCs w:val="18"/>
              </w:rPr>
              <w:t>2.1.1</w:t>
            </w:r>
          </w:p>
        </w:tc>
        <w:tc>
          <w:tcPr>
            <w:tcW w:w="7367" w:type="dxa"/>
          </w:tcPr>
          <w:p w:rsidR="00C03B2B" w:rsidRPr="004E2CC9" w:rsidRDefault="00C03B2B" w:rsidP="00A66593">
            <w:pPr>
              <w:pStyle w:val="Pa7"/>
              <w:spacing w:before="40" w:after="40"/>
              <w:rPr>
                <w:rStyle w:val="A15"/>
                <w:rFonts w:ascii="Calibri" w:hAnsi="Calibri" w:cs="Calibri"/>
                <w:sz w:val="18"/>
                <w:szCs w:val="18"/>
              </w:rPr>
            </w:pPr>
            <w:r w:rsidRPr="00657647">
              <w:rPr>
                <w:rStyle w:val="A15"/>
                <w:rFonts w:ascii="Calibri" w:hAnsi="Calibri" w:cs="Calibri"/>
                <w:sz w:val="18"/>
                <w:szCs w:val="18"/>
              </w:rPr>
              <w:t>Each child’s wellbeing and comfort is provided for, including appropriate opportunities to meet each child’s need for sleep, rest and relaxation</w:t>
            </w:r>
          </w:p>
        </w:tc>
      </w:tr>
      <w:tr w:rsidR="00C03B2B" w:rsidRPr="004E2CC9" w:rsidTr="00A66593">
        <w:tc>
          <w:tcPr>
            <w:tcW w:w="667" w:type="dxa"/>
          </w:tcPr>
          <w:p w:rsidR="00C03B2B" w:rsidRPr="004E2CC9" w:rsidRDefault="00C03B2B" w:rsidP="00A66593">
            <w:pPr>
              <w:rPr>
                <w:rFonts w:cs="Calibri"/>
                <w:sz w:val="18"/>
                <w:szCs w:val="18"/>
              </w:rPr>
            </w:pPr>
          </w:p>
        </w:tc>
        <w:tc>
          <w:tcPr>
            <w:tcW w:w="822" w:type="dxa"/>
          </w:tcPr>
          <w:p w:rsidR="00C03B2B" w:rsidRPr="004E2CC9" w:rsidRDefault="00C03B2B" w:rsidP="00A66593">
            <w:pPr>
              <w:rPr>
                <w:rFonts w:cs="Calibri"/>
                <w:sz w:val="18"/>
                <w:szCs w:val="18"/>
              </w:rPr>
            </w:pPr>
            <w:r>
              <w:rPr>
                <w:rFonts w:cs="Calibri"/>
                <w:sz w:val="18"/>
                <w:szCs w:val="18"/>
              </w:rPr>
              <w:t>2.1.2</w:t>
            </w:r>
          </w:p>
        </w:tc>
        <w:tc>
          <w:tcPr>
            <w:tcW w:w="7367" w:type="dxa"/>
          </w:tcPr>
          <w:p w:rsidR="00C03B2B" w:rsidRPr="004E2CC9" w:rsidRDefault="00C03B2B" w:rsidP="00A66593">
            <w:pPr>
              <w:pStyle w:val="Pa7"/>
              <w:spacing w:before="40" w:after="40"/>
              <w:rPr>
                <w:rStyle w:val="A15"/>
                <w:rFonts w:ascii="Calibri" w:hAnsi="Calibri" w:cs="Calibri"/>
                <w:sz w:val="18"/>
                <w:szCs w:val="18"/>
              </w:rPr>
            </w:pPr>
            <w:r w:rsidRPr="00657647">
              <w:rPr>
                <w:rStyle w:val="A15"/>
                <w:rFonts w:ascii="Calibri" w:hAnsi="Calibri" w:cs="Calibri"/>
                <w:sz w:val="18"/>
                <w:szCs w:val="18"/>
              </w:rPr>
              <w:t>Effective illness and injury management and hygiene practices are promoted and implemented</w:t>
            </w:r>
          </w:p>
        </w:tc>
      </w:tr>
      <w:tr w:rsidR="00C03B2B" w:rsidRPr="004E2CC9" w:rsidTr="00A66593">
        <w:tc>
          <w:tcPr>
            <w:tcW w:w="667" w:type="dxa"/>
          </w:tcPr>
          <w:p w:rsidR="00C03B2B" w:rsidRPr="004E2CC9" w:rsidRDefault="00C03B2B" w:rsidP="00A66593">
            <w:pPr>
              <w:rPr>
                <w:rFonts w:cs="Calibri"/>
                <w:sz w:val="18"/>
                <w:szCs w:val="18"/>
              </w:rPr>
            </w:pPr>
          </w:p>
        </w:tc>
        <w:tc>
          <w:tcPr>
            <w:tcW w:w="822" w:type="dxa"/>
          </w:tcPr>
          <w:p w:rsidR="00C03B2B" w:rsidRPr="004E2CC9" w:rsidRDefault="00C03B2B" w:rsidP="00A66593">
            <w:pPr>
              <w:rPr>
                <w:rFonts w:cs="Calibri"/>
                <w:sz w:val="18"/>
                <w:szCs w:val="18"/>
              </w:rPr>
            </w:pPr>
            <w:r w:rsidRPr="004E2CC9">
              <w:rPr>
                <w:rFonts w:cs="Calibri"/>
                <w:sz w:val="18"/>
                <w:szCs w:val="18"/>
              </w:rPr>
              <w:t>2.</w:t>
            </w:r>
            <w:r>
              <w:rPr>
                <w:rFonts w:cs="Calibri"/>
                <w:sz w:val="18"/>
                <w:szCs w:val="18"/>
              </w:rPr>
              <w:t>1.3</w:t>
            </w:r>
          </w:p>
        </w:tc>
        <w:tc>
          <w:tcPr>
            <w:tcW w:w="7367" w:type="dxa"/>
          </w:tcPr>
          <w:p w:rsidR="00C03B2B" w:rsidRPr="004E2CC9" w:rsidRDefault="00C03B2B" w:rsidP="00A66593">
            <w:pPr>
              <w:pStyle w:val="Pa7"/>
              <w:spacing w:before="40" w:after="40"/>
              <w:rPr>
                <w:rStyle w:val="A15"/>
                <w:rFonts w:ascii="Calibri" w:hAnsi="Calibri" w:cs="Calibri"/>
                <w:sz w:val="18"/>
                <w:szCs w:val="18"/>
              </w:rPr>
            </w:pPr>
            <w:r w:rsidRPr="00657647">
              <w:rPr>
                <w:rStyle w:val="A15"/>
                <w:rFonts w:ascii="Calibri" w:hAnsi="Calibri" w:cs="Calibri"/>
                <w:sz w:val="18"/>
                <w:szCs w:val="18"/>
              </w:rPr>
              <w:t>Healthy eating and physical activity are promoted and appropriate for each child</w:t>
            </w:r>
          </w:p>
        </w:tc>
      </w:tr>
      <w:tr w:rsidR="00C03B2B" w:rsidRPr="004E2CC9" w:rsidTr="00A66593">
        <w:tc>
          <w:tcPr>
            <w:tcW w:w="667" w:type="dxa"/>
          </w:tcPr>
          <w:p w:rsidR="00C03B2B" w:rsidRPr="004E2CC9" w:rsidRDefault="00C03B2B" w:rsidP="00A66593">
            <w:pPr>
              <w:rPr>
                <w:rFonts w:cs="Calibri"/>
                <w:sz w:val="18"/>
                <w:szCs w:val="18"/>
              </w:rPr>
            </w:pPr>
          </w:p>
        </w:tc>
        <w:tc>
          <w:tcPr>
            <w:tcW w:w="822" w:type="dxa"/>
          </w:tcPr>
          <w:p w:rsidR="00C03B2B" w:rsidRPr="004E2CC9" w:rsidRDefault="00C03B2B" w:rsidP="00A66593">
            <w:pPr>
              <w:rPr>
                <w:rFonts w:cs="Calibri"/>
                <w:sz w:val="18"/>
                <w:szCs w:val="18"/>
              </w:rPr>
            </w:pPr>
            <w:r w:rsidRPr="004E2CC9">
              <w:rPr>
                <w:rFonts w:cs="Calibri"/>
                <w:sz w:val="18"/>
                <w:szCs w:val="18"/>
              </w:rPr>
              <w:t>2.</w:t>
            </w:r>
            <w:r>
              <w:rPr>
                <w:rFonts w:cs="Calibri"/>
                <w:sz w:val="18"/>
                <w:szCs w:val="18"/>
              </w:rPr>
              <w:t>2.1</w:t>
            </w:r>
          </w:p>
        </w:tc>
        <w:tc>
          <w:tcPr>
            <w:tcW w:w="7367" w:type="dxa"/>
          </w:tcPr>
          <w:p w:rsidR="00C03B2B" w:rsidRPr="004E2CC9" w:rsidRDefault="00C03B2B" w:rsidP="00A66593">
            <w:pPr>
              <w:pStyle w:val="Pa7"/>
              <w:spacing w:before="40" w:after="40"/>
              <w:rPr>
                <w:rStyle w:val="A15"/>
                <w:rFonts w:ascii="Calibri" w:hAnsi="Calibri" w:cs="Calibri"/>
                <w:sz w:val="18"/>
                <w:szCs w:val="18"/>
              </w:rPr>
            </w:pPr>
            <w:r w:rsidRPr="00657647">
              <w:rPr>
                <w:rStyle w:val="A15"/>
                <w:rFonts w:ascii="Calibri" w:hAnsi="Calibri" w:cs="Calibri"/>
                <w:sz w:val="18"/>
                <w:szCs w:val="18"/>
              </w:rPr>
              <w:t>At all times, reasonable precautions and adequate supervision ensure children are protected from harm and hazard</w:t>
            </w:r>
          </w:p>
        </w:tc>
      </w:tr>
      <w:tr w:rsidR="00C03B2B" w:rsidRPr="004E2CC9" w:rsidTr="00A66593">
        <w:tc>
          <w:tcPr>
            <w:tcW w:w="667" w:type="dxa"/>
          </w:tcPr>
          <w:p w:rsidR="00C03B2B" w:rsidRPr="004E2CC9" w:rsidRDefault="00C03B2B" w:rsidP="00A66593">
            <w:pPr>
              <w:rPr>
                <w:rFonts w:cs="Calibri"/>
                <w:sz w:val="18"/>
                <w:szCs w:val="18"/>
              </w:rPr>
            </w:pPr>
          </w:p>
        </w:tc>
        <w:tc>
          <w:tcPr>
            <w:tcW w:w="822" w:type="dxa"/>
          </w:tcPr>
          <w:p w:rsidR="00C03B2B" w:rsidRPr="004E2CC9" w:rsidRDefault="00C03B2B" w:rsidP="00A66593">
            <w:pPr>
              <w:rPr>
                <w:rFonts w:cs="Calibri"/>
                <w:sz w:val="18"/>
                <w:szCs w:val="18"/>
              </w:rPr>
            </w:pPr>
            <w:r>
              <w:rPr>
                <w:rFonts w:cs="Calibri"/>
                <w:sz w:val="18"/>
                <w:szCs w:val="18"/>
              </w:rPr>
              <w:t>5.1.1</w:t>
            </w:r>
          </w:p>
        </w:tc>
        <w:tc>
          <w:tcPr>
            <w:tcW w:w="7367" w:type="dxa"/>
          </w:tcPr>
          <w:p w:rsidR="00C03B2B" w:rsidRPr="004E2CC9" w:rsidRDefault="00C03B2B" w:rsidP="00A66593">
            <w:pPr>
              <w:pStyle w:val="Pa7"/>
              <w:spacing w:before="40" w:after="40"/>
              <w:rPr>
                <w:rStyle w:val="A15"/>
                <w:rFonts w:ascii="Calibri" w:hAnsi="Calibri" w:cs="Calibri"/>
                <w:sz w:val="18"/>
                <w:szCs w:val="18"/>
              </w:rPr>
            </w:pPr>
            <w:r w:rsidRPr="00657647">
              <w:rPr>
                <w:rStyle w:val="A15"/>
                <w:rFonts w:ascii="Calibri" w:hAnsi="Calibri" w:cs="Calibri"/>
                <w:sz w:val="18"/>
                <w:szCs w:val="18"/>
              </w:rPr>
              <w:t>Responsive and meaningful interactions build trusting relationships which engage and support each child to feel secure, confident and included</w:t>
            </w:r>
          </w:p>
        </w:tc>
      </w:tr>
    </w:tbl>
    <w:p w:rsidR="00C03B2B" w:rsidRDefault="00C03B2B" w:rsidP="00695AFD">
      <w:pPr>
        <w:pStyle w:val="NoSpacing"/>
        <w:jc w:val="both"/>
        <w:rPr>
          <w:rFonts w:cs="Arial"/>
          <w:bCs/>
        </w:rPr>
      </w:pPr>
    </w:p>
    <w:p w:rsidR="00695AFD" w:rsidRPr="006E09DD" w:rsidRDefault="00695AFD" w:rsidP="009C60C5">
      <w:pPr>
        <w:pBdr>
          <w:bottom w:val="single" w:sz="4" w:space="1" w:color="auto"/>
        </w:pBdr>
        <w:jc w:val="left"/>
        <w:rPr>
          <w:b/>
          <w:sz w:val="22"/>
        </w:rPr>
      </w:pPr>
      <w:r w:rsidRPr="006E09DD">
        <w:rPr>
          <w:b/>
          <w:sz w:val="22"/>
        </w:rPr>
        <w:t>Sources</w:t>
      </w:r>
    </w:p>
    <w:p w:rsidR="009C60C5" w:rsidRDefault="009C60C5" w:rsidP="00695AFD">
      <w:pPr>
        <w:rPr>
          <w:b/>
          <w:sz w:val="22"/>
        </w:rPr>
      </w:pPr>
    </w:p>
    <w:p w:rsidR="0017456A" w:rsidRPr="00F529C7" w:rsidRDefault="0017456A" w:rsidP="0017456A">
      <w:pPr>
        <w:numPr>
          <w:ilvl w:val="0"/>
          <w:numId w:val="4"/>
        </w:numPr>
        <w:jc w:val="left"/>
        <w:rPr>
          <w:sz w:val="22"/>
        </w:rPr>
      </w:pPr>
      <w:r w:rsidRPr="00F529C7">
        <w:rPr>
          <w:sz w:val="22"/>
        </w:rPr>
        <w:t xml:space="preserve">Children’s Health Queensland. (2017). </w:t>
      </w:r>
      <w:r w:rsidRPr="00F529C7">
        <w:rPr>
          <w:i/>
          <w:sz w:val="22"/>
        </w:rPr>
        <w:t xml:space="preserve">Expressing breast milk for your baby. </w:t>
      </w:r>
      <w:hyperlink r:id="rId8" w:history="1">
        <w:r w:rsidRPr="00F529C7">
          <w:rPr>
            <w:rStyle w:val="Hyperlink"/>
            <w:sz w:val="22"/>
          </w:rPr>
          <w:t>https://www.childrens.health.qld.gov.au/fact-sheet-expressing-breast-milk-for-your-baby/</w:t>
        </w:r>
      </w:hyperlink>
      <w:r w:rsidRPr="00F529C7">
        <w:rPr>
          <w:sz w:val="22"/>
        </w:rPr>
        <w:t xml:space="preserve"> accessed 24 December 2017</w:t>
      </w:r>
    </w:p>
    <w:p w:rsidR="00695AFD" w:rsidRPr="00F529C7" w:rsidRDefault="00695AFD" w:rsidP="00190196">
      <w:pPr>
        <w:numPr>
          <w:ilvl w:val="0"/>
          <w:numId w:val="4"/>
        </w:numPr>
        <w:jc w:val="left"/>
        <w:rPr>
          <w:sz w:val="22"/>
        </w:rPr>
      </w:pPr>
      <w:r w:rsidRPr="00F529C7">
        <w:rPr>
          <w:sz w:val="22"/>
        </w:rPr>
        <w:t>Early Years Learning Framework 2009</w:t>
      </w:r>
    </w:p>
    <w:p w:rsidR="00695AFD" w:rsidRPr="00F529C7" w:rsidRDefault="00695AFD" w:rsidP="00190196">
      <w:pPr>
        <w:numPr>
          <w:ilvl w:val="0"/>
          <w:numId w:val="4"/>
        </w:numPr>
        <w:jc w:val="left"/>
        <w:rPr>
          <w:sz w:val="22"/>
        </w:rPr>
      </w:pPr>
      <w:r w:rsidRPr="00F529C7">
        <w:rPr>
          <w:sz w:val="22"/>
        </w:rPr>
        <w:t xml:space="preserve">Education and Care </w:t>
      </w:r>
      <w:r w:rsidR="0063688C" w:rsidRPr="00F529C7">
        <w:rPr>
          <w:sz w:val="22"/>
        </w:rPr>
        <w:t>Service</w:t>
      </w:r>
      <w:r w:rsidRPr="00F529C7">
        <w:rPr>
          <w:sz w:val="22"/>
        </w:rPr>
        <w:t>s National Regulations 2011</w:t>
      </w:r>
    </w:p>
    <w:p w:rsidR="00695AFD" w:rsidRPr="00F529C7" w:rsidRDefault="0069716F" w:rsidP="00190196">
      <w:pPr>
        <w:numPr>
          <w:ilvl w:val="0"/>
          <w:numId w:val="4"/>
        </w:numPr>
        <w:jc w:val="left"/>
        <w:rPr>
          <w:sz w:val="22"/>
        </w:rPr>
      </w:pPr>
      <w:r w:rsidRPr="00F529C7">
        <w:rPr>
          <w:sz w:val="22"/>
        </w:rPr>
        <w:t xml:space="preserve">Guide to the </w:t>
      </w:r>
      <w:r w:rsidR="00695AFD" w:rsidRPr="00F529C7">
        <w:rPr>
          <w:sz w:val="22"/>
        </w:rPr>
        <w:t>National Quality Standard 2011</w:t>
      </w:r>
    </w:p>
    <w:p w:rsidR="00695AFD" w:rsidRPr="00F529C7" w:rsidRDefault="00695AFD" w:rsidP="00485241">
      <w:pPr>
        <w:numPr>
          <w:ilvl w:val="0"/>
          <w:numId w:val="4"/>
        </w:numPr>
        <w:jc w:val="left"/>
        <w:rPr>
          <w:sz w:val="22"/>
        </w:rPr>
      </w:pPr>
      <w:r w:rsidRPr="00F529C7">
        <w:rPr>
          <w:sz w:val="22"/>
        </w:rPr>
        <w:t xml:space="preserve">Queensland Health. (n.d.). </w:t>
      </w:r>
      <w:r w:rsidRPr="00F529C7">
        <w:rPr>
          <w:i/>
          <w:sz w:val="22"/>
        </w:rPr>
        <w:t>Formula Feeding</w:t>
      </w:r>
      <w:r w:rsidR="00470007" w:rsidRPr="00F529C7">
        <w:rPr>
          <w:sz w:val="22"/>
        </w:rPr>
        <w:t xml:space="preserve">. </w:t>
      </w:r>
      <w:hyperlink r:id="rId9" w:history="1">
        <w:r w:rsidR="00485241" w:rsidRPr="00F529C7">
          <w:rPr>
            <w:rStyle w:val="Hyperlink"/>
            <w:sz w:val="22"/>
          </w:rPr>
          <w:t xml:space="preserve">https://www.health.qld.gov.au/__data/assets/pdf_file/0026/160829/formula_feeding.pdf </w:t>
        </w:r>
      </w:hyperlink>
      <w:r w:rsidRPr="00F529C7">
        <w:rPr>
          <w:sz w:val="22"/>
        </w:rPr>
        <w:t xml:space="preserve">accessed </w:t>
      </w:r>
      <w:r w:rsidR="0017456A" w:rsidRPr="00F529C7">
        <w:rPr>
          <w:sz w:val="22"/>
        </w:rPr>
        <w:t xml:space="preserve">24 December </w:t>
      </w:r>
      <w:r w:rsidR="00485241" w:rsidRPr="00F529C7">
        <w:rPr>
          <w:sz w:val="22"/>
        </w:rPr>
        <w:t>2017</w:t>
      </w:r>
      <w:r w:rsidRPr="00F529C7">
        <w:rPr>
          <w:sz w:val="22"/>
        </w:rPr>
        <w:t xml:space="preserve"> </w:t>
      </w:r>
    </w:p>
    <w:p w:rsidR="00695AFD" w:rsidRPr="00F529C7" w:rsidRDefault="00695AFD" w:rsidP="00695AFD">
      <w:pPr>
        <w:rPr>
          <w:b/>
          <w:sz w:val="22"/>
        </w:rPr>
      </w:pPr>
    </w:p>
    <w:p w:rsidR="00057AB4" w:rsidRPr="00F529C7" w:rsidRDefault="00057AB4" w:rsidP="00057AB4">
      <w:pPr>
        <w:pBdr>
          <w:bottom w:val="single" w:sz="4" w:space="1" w:color="auto"/>
        </w:pBdr>
        <w:jc w:val="left"/>
        <w:rPr>
          <w:b/>
          <w:sz w:val="22"/>
        </w:rPr>
      </w:pPr>
      <w:r w:rsidRPr="00F529C7">
        <w:rPr>
          <w:b/>
          <w:sz w:val="22"/>
        </w:rPr>
        <w:t>Further reading and useful websites</w:t>
      </w:r>
    </w:p>
    <w:p w:rsidR="00695AFD" w:rsidRPr="00F529C7" w:rsidRDefault="00695AFD" w:rsidP="009C60C5">
      <w:pPr>
        <w:jc w:val="left"/>
        <w:rPr>
          <w:b/>
          <w:sz w:val="22"/>
        </w:rPr>
      </w:pPr>
    </w:p>
    <w:p w:rsidR="00E904A9" w:rsidRPr="00F529C7" w:rsidRDefault="00E904A9" w:rsidP="00E904A9">
      <w:pPr>
        <w:numPr>
          <w:ilvl w:val="0"/>
          <w:numId w:val="4"/>
        </w:numPr>
        <w:jc w:val="left"/>
        <w:rPr>
          <w:sz w:val="22"/>
        </w:rPr>
      </w:pPr>
      <w:r w:rsidRPr="00F529C7">
        <w:rPr>
          <w:sz w:val="22"/>
        </w:rPr>
        <w:t xml:space="preserve">Australian Breastfeeding Association – </w:t>
      </w:r>
      <w:hyperlink r:id="rId10" w:history="1">
        <w:r w:rsidRPr="00F529C7">
          <w:rPr>
            <w:rStyle w:val="Hyperlink"/>
            <w:color w:val="auto"/>
            <w:sz w:val="22"/>
          </w:rPr>
          <w:t>https://www.breastfeeding.asn.au/</w:t>
        </w:r>
      </w:hyperlink>
      <w:r w:rsidRPr="00F529C7">
        <w:rPr>
          <w:sz w:val="22"/>
        </w:rPr>
        <w:t xml:space="preserve"> accessed</w:t>
      </w:r>
      <w:r w:rsidR="001F3BE1" w:rsidRPr="00F529C7">
        <w:rPr>
          <w:sz w:val="22"/>
        </w:rPr>
        <w:t xml:space="preserve"> </w:t>
      </w:r>
      <w:r w:rsidR="00D02988" w:rsidRPr="00F529C7">
        <w:rPr>
          <w:sz w:val="22"/>
        </w:rPr>
        <w:t xml:space="preserve">24 December </w:t>
      </w:r>
      <w:r w:rsidR="00EF589A" w:rsidRPr="00F529C7">
        <w:rPr>
          <w:sz w:val="22"/>
        </w:rPr>
        <w:t>201</w:t>
      </w:r>
      <w:r w:rsidR="00D02988" w:rsidRPr="00F529C7">
        <w:rPr>
          <w:sz w:val="22"/>
        </w:rPr>
        <w:t>7</w:t>
      </w:r>
      <w:r w:rsidRPr="00F529C7">
        <w:rPr>
          <w:sz w:val="22"/>
        </w:rPr>
        <w:t xml:space="preserve"> </w:t>
      </w:r>
    </w:p>
    <w:p w:rsidR="00FE7DB7" w:rsidRPr="00F529C7" w:rsidRDefault="00FE7DB7" w:rsidP="00FE7DB7">
      <w:pPr>
        <w:numPr>
          <w:ilvl w:val="0"/>
          <w:numId w:val="4"/>
        </w:numPr>
        <w:jc w:val="left"/>
        <w:rPr>
          <w:sz w:val="22"/>
        </w:rPr>
      </w:pPr>
      <w:r w:rsidRPr="00F529C7">
        <w:rPr>
          <w:sz w:val="22"/>
        </w:rPr>
        <w:t xml:space="preserve">Better Health Channel. (2011). </w:t>
      </w:r>
      <w:r w:rsidRPr="00F529C7">
        <w:rPr>
          <w:i/>
          <w:sz w:val="22"/>
        </w:rPr>
        <w:t>Fact sheet:</w:t>
      </w:r>
      <w:r w:rsidRPr="00F529C7">
        <w:rPr>
          <w:sz w:val="22"/>
        </w:rPr>
        <w:t xml:space="preserve"> Child care and healthy eating. </w:t>
      </w:r>
    </w:p>
    <w:p w:rsidR="00FE7DB7" w:rsidRPr="00F529C7" w:rsidRDefault="0034536C" w:rsidP="00A62FA4">
      <w:pPr>
        <w:ind w:left="720"/>
        <w:jc w:val="left"/>
        <w:rPr>
          <w:sz w:val="22"/>
        </w:rPr>
      </w:pPr>
      <w:hyperlink r:id="rId11" w:history="1">
        <w:r w:rsidR="00EF589A" w:rsidRPr="00F529C7">
          <w:rPr>
            <w:rStyle w:val="Hyperlink"/>
            <w:sz w:val="22"/>
          </w:rPr>
          <w:t>https://www.betterhealth.vic.gov.au/health/healthyliving/childcare-and-healthy-eating</w:t>
        </w:r>
      </w:hyperlink>
      <w:r w:rsidR="00A62FA4" w:rsidRPr="00F529C7">
        <w:rPr>
          <w:sz w:val="22"/>
        </w:rPr>
        <w:t xml:space="preserve"> accessed </w:t>
      </w:r>
      <w:r w:rsidR="00D02988" w:rsidRPr="00F529C7">
        <w:rPr>
          <w:sz w:val="22"/>
        </w:rPr>
        <w:t xml:space="preserve">24 December </w:t>
      </w:r>
      <w:r w:rsidR="00485241" w:rsidRPr="00F529C7">
        <w:rPr>
          <w:sz w:val="22"/>
        </w:rPr>
        <w:t>2017</w:t>
      </w:r>
    </w:p>
    <w:p w:rsidR="00A62FA4" w:rsidRPr="00F529C7" w:rsidRDefault="00FE7DB7" w:rsidP="00EF589A">
      <w:pPr>
        <w:numPr>
          <w:ilvl w:val="0"/>
          <w:numId w:val="4"/>
        </w:numPr>
        <w:jc w:val="left"/>
        <w:rPr>
          <w:sz w:val="22"/>
        </w:rPr>
      </w:pPr>
      <w:r w:rsidRPr="00F529C7">
        <w:rPr>
          <w:sz w:val="22"/>
        </w:rPr>
        <w:t xml:space="preserve">Nutrition Australia. (2009). </w:t>
      </w:r>
      <w:r w:rsidRPr="00F529C7">
        <w:rPr>
          <w:i/>
          <w:sz w:val="22"/>
        </w:rPr>
        <w:t xml:space="preserve">Get up &amp; Grow: Healthy Eating and Physical Activity for early Childhood </w:t>
      </w:r>
      <w:r w:rsidR="00EF589A" w:rsidRPr="00F529C7">
        <w:rPr>
          <w:i/>
          <w:sz w:val="22"/>
        </w:rPr>
        <w:t>(Staff and Carer handbook).</w:t>
      </w:r>
      <w:r w:rsidR="00EF589A" w:rsidRPr="00F529C7">
        <w:rPr>
          <w:sz w:val="22"/>
        </w:rPr>
        <w:t xml:space="preserve"> </w:t>
      </w:r>
      <w:hyperlink r:id="rId12" w:history="1">
        <w:r w:rsidR="00EF589A" w:rsidRPr="00F529C7">
          <w:rPr>
            <w:rStyle w:val="Hyperlink"/>
            <w:sz w:val="22"/>
          </w:rPr>
          <w:t>https://www.health.gov.au/</w:t>
        </w:r>
        <w:r w:rsidR="00B55471" w:rsidRPr="00F529C7">
          <w:rPr>
            <w:rStyle w:val="Hyperlink"/>
            <w:sz w:val="22"/>
          </w:rPr>
          <w:t>z</w:t>
        </w:r>
        <w:r w:rsidR="00EF589A" w:rsidRPr="00F529C7">
          <w:rPr>
            <w:rStyle w:val="Hyperlink"/>
            <w:sz w:val="22"/>
          </w:rPr>
          <w:t>internet/main/publishing.nsf/Content/2CDB3A000FE57A4ECA257BF0001916EC/$File/HEPA%20-%20B5%20Book%20-%20Staff%20and%20Carer%20Book_LR.pdf</w:t>
        </w:r>
        <w:r w:rsidR="00B12CEE" w:rsidRPr="00F529C7">
          <w:rPr>
            <w:rStyle w:val="Hyperlink"/>
            <w:sz w:val="22"/>
          </w:rPr>
          <w:t xml:space="preserve"> </w:t>
        </w:r>
      </w:hyperlink>
      <w:r w:rsidR="00695AFD" w:rsidRPr="00F529C7">
        <w:rPr>
          <w:sz w:val="22"/>
        </w:rPr>
        <w:t xml:space="preserve"> accessed </w:t>
      </w:r>
      <w:r w:rsidR="00D02988" w:rsidRPr="00F529C7">
        <w:rPr>
          <w:sz w:val="22"/>
        </w:rPr>
        <w:t xml:space="preserve">24 December </w:t>
      </w:r>
      <w:r w:rsidR="00485241" w:rsidRPr="00F529C7">
        <w:rPr>
          <w:sz w:val="22"/>
        </w:rPr>
        <w:t>2017</w:t>
      </w:r>
    </w:p>
    <w:p w:rsidR="00695AFD" w:rsidRPr="00F529C7" w:rsidRDefault="00695AFD" w:rsidP="00190196">
      <w:pPr>
        <w:numPr>
          <w:ilvl w:val="0"/>
          <w:numId w:val="4"/>
        </w:numPr>
        <w:jc w:val="left"/>
        <w:rPr>
          <w:sz w:val="22"/>
        </w:rPr>
      </w:pPr>
      <w:r w:rsidRPr="00F529C7">
        <w:rPr>
          <w:sz w:val="22"/>
        </w:rPr>
        <w:t>Nutrition Australia. (</w:t>
      </w:r>
      <w:r w:rsidR="001F3BE1" w:rsidRPr="00F529C7">
        <w:rPr>
          <w:sz w:val="22"/>
        </w:rPr>
        <w:t>201</w:t>
      </w:r>
      <w:r w:rsidR="00485241" w:rsidRPr="00F529C7">
        <w:rPr>
          <w:sz w:val="22"/>
        </w:rPr>
        <w:t>7</w:t>
      </w:r>
      <w:r w:rsidRPr="00F529C7">
        <w:rPr>
          <w:sz w:val="22"/>
        </w:rPr>
        <w:t>).</w:t>
      </w:r>
      <w:r w:rsidRPr="00F529C7">
        <w:rPr>
          <w:i/>
          <w:sz w:val="22"/>
        </w:rPr>
        <w:t xml:space="preserve"> </w:t>
      </w:r>
      <w:r w:rsidR="001F3BE1" w:rsidRPr="00F529C7">
        <w:rPr>
          <w:i/>
          <w:sz w:val="22"/>
        </w:rPr>
        <w:t>Factsheets</w:t>
      </w:r>
      <w:r w:rsidR="001F3BE1" w:rsidRPr="00F529C7">
        <w:rPr>
          <w:sz w:val="22"/>
        </w:rPr>
        <w:t xml:space="preserve">. </w:t>
      </w:r>
      <w:r w:rsidRPr="00F529C7">
        <w:rPr>
          <w:sz w:val="22"/>
        </w:rPr>
        <w:t xml:space="preserve"> </w:t>
      </w:r>
      <w:hyperlink r:id="rId13" w:history="1">
        <w:r w:rsidR="00A62FA4" w:rsidRPr="00F529C7">
          <w:rPr>
            <w:rStyle w:val="Hyperlink"/>
            <w:color w:val="auto"/>
            <w:sz w:val="22"/>
          </w:rPr>
          <w:t>http://www.nutritionaustralia.org/national/resources</w:t>
        </w:r>
      </w:hyperlink>
      <w:r w:rsidR="00A62FA4" w:rsidRPr="00F529C7">
        <w:rPr>
          <w:sz w:val="22"/>
        </w:rPr>
        <w:t xml:space="preserve"> accessed </w:t>
      </w:r>
      <w:r w:rsidR="00903C4C" w:rsidRPr="00F529C7">
        <w:rPr>
          <w:sz w:val="22"/>
        </w:rPr>
        <w:t xml:space="preserve">24 December </w:t>
      </w:r>
      <w:r w:rsidR="00485241" w:rsidRPr="00F529C7">
        <w:rPr>
          <w:sz w:val="22"/>
        </w:rPr>
        <w:t>2017</w:t>
      </w:r>
    </w:p>
    <w:p w:rsidR="00903C4C" w:rsidRPr="00F529C7" w:rsidRDefault="00903C4C" w:rsidP="00903C4C">
      <w:pPr>
        <w:numPr>
          <w:ilvl w:val="0"/>
          <w:numId w:val="4"/>
        </w:numPr>
        <w:jc w:val="left"/>
        <w:rPr>
          <w:sz w:val="22"/>
          <w:u w:val="single"/>
        </w:rPr>
      </w:pPr>
      <w:r w:rsidRPr="00F529C7">
        <w:rPr>
          <w:sz w:val="22"/>
        </w:rPr>
        <w:t xml:space="preserve">Nutrition Australia – </w:t>
      </w:r>
      <w:r w:rsidRPr="00F529C7">
        <w:rPr>
          <w:i/>
          <w:sz w:val="22"/>
        </w:rPr>
        <w:t xml:space="preserve">Promoting health by encouraging food variety and physical activity. </w:t>
      </w:r>
      <w:r w:rsidRPr="00F529C7">
        <w:rPr>
          <w:sz w:val="22"/>
        </w:rPr>
        <w:t xml:space="preserve">  </w:t>
      </w:r>
      <w:hyperlink r:id="rId14" w:history="1">
        <w:r w:rsidRPr="00F529C7">
          <w:rPr>
            <w:rStyle w:val="Hyperlink"/>
            <w:color w:val="auto"/>
            <w:sz w:val="22"/>
          </w:rPr>
          <w:t xml:space="preserve">http://www.nutritionaustralia.org/vic/nutrition-services-early-learning-centres </w:t>
        </w:r>
      </w:hyperlink>
      <w:r w:rsidRPr="00F529C7">
        <w:rPr>
          <w:sz w:val="22"/>
        </w:rPr>
        <w:t xml:space="preserve"> accessed 24 December 2017  </w:t>
      </w:r>
    </w:p>
    <w:p w:rsidR="00695AFD" w:rsidRPr="00F529C7" w:rsidRDefault="00695AFD" w:rsidP="00B12CEE">
      <w:pPr>
        <w:numPr>
          <w:ilvl w:val="0"/>
          <w:numId w:val="4"/>
        </w:numPr>
        <w:jc w:val="left"/>
        <w:rPr>
          <w:sz w:val="22"/>
        </w:rPr>
      </w:pPr>
      <w:bookmarkStart w:id="3" w:name="_Hlk501944735"/>
      <w:r w:rsidRPr="00F529C7">
        <w:rPr>
          <w:sz w:val="22"/>
        </w:rPr>
        <w:t xml:space="preserve">National Health and Medical Research Council. (2003). </w:t>
      </w:r>
      <w:r w:rsidRPr="00F529C7">
        <w:rPr>
          <w:i/>
          <w:sz w:val="22"/>
        </w:rPr>
        <w:t xml:space="preserve">The </w:t>
      </w:r>
      <w:r w:rsidRPr="00F529C7">
        <w:rPr>
          <w:i/>
          <w:iCs/>
          <w:sz w:val="22"/>
        </w:rPr>
        <w:t xml:space="preserve">Dietary Guidelines for Children and Adolescents in Australia incorporating The Infant Feeding Guidelines for Health Workers </w:t>
      </w:r>
      <w:hyperlink r:id="rId15" w:history="1">
        <w:r w:rsidR="00B12CEE" w:rsidRPr="00F529C7">
          <w:rPr>
            <w:rStyle w:val="Hyperlink"/>
            <w:iCs/>
            <w:color w:val="auto"/>
            <w:sz w:val="22"/>
          </w:rPr>
          <w:t>http://www.nhmrc.gov.au/_files_nhmrc/publications/attachments/n34.pdf</w:t>
        </w:r>
      </w:hyperlink>
      <w:r w:rsidR="00B12CEE" w:rsidRPr="00F529C7">
        <w:rPr>
          <w:iCs/>
          <w:sz w:val="22"/>
        </w:rPr>
        <w:t xml:space="preserve">  accessed </w:t>
      </w:r>
      <w:r w:rsidR="00F529C7" w:rsidRPr="00F529C7">
        <w:rPr>
          <w:iCs/>
          <w:sz w:val="22"/>
        </w:rPr>
        <w:t xml:space="preserve">24 December </w:t>
      </w:r>
      <w:r w:rsidR="00485241" w:rsidRPr="00F529C7">
        <w:rPr>
          <w:iCs/>
          <w:sz w:val="22"/>
        </w:rPr>
        <w:t>2017</w:t>
      </w:r>
    </w:p>
    <w:bookmarkEnd w:id="3"/>
    <w:p w:rsidR="00695AFD" w:rsidRPr="00F529C7" w:rsidRDefault="00695AFD" w:rsidP="00B12CEE">
      <w:pPr>
        <w:numPr>
          <w:ilvl w:val="0"/>
          <w:numId w:val="5"/>
        </w:numPr>
        <w:jc w:val="left"/>
        <w:rPr>
          <w:sz w:val="22"/>
        </w:rPr>
      </w:pPr>
      <w:r w:rsidRPr="00F529C7">
        <w:rPr>
          <w:sz w:val="22"/>
        </w:rPr>
        <w:t xml:space="preserve">Queensland Health – </w:t>
      </w:r>
      <w:hyperlink r:id="rId16" w:history="1">
        <w:r w:rsidR="00B12CEE" w:rsidRPr="00F529C7">
          <w:rPr>
            <w:rStyle w:val="Hyperlink"/>
            <w:color w:val="auto"/>
            <w:sz w:val="22"/>
          </w:rPr>
          <w:t>http://www.health.qld.gov.au/</w:t>
        </w:r>
      </w:hyperlink>
      <w:r w:rsidR="00B12CEE" w:rsidRPr="00F529C7">
        <w:rPr>
          <w:sz w:val="22"/>
        </w:rPr>
        <w:t xml:space="preserve"> </w:t>
      </w:r>
      <w:r w:rsidR="001F3BE1" w:rsidRPr="00F529C7">
        <w:rPr>
          <w:sz w:val="22"/>
        </w:rPr>
        <w:t xml:space="preserve">accessed </w:t>
      </w:r>
      <w:r w:rsidR="00F529C7" w:rsidRPr="00F529C7">
        <w:rPr>
          <w:sz w:val="22"/>
        </w:rPr>
        <w:t xml:space="preserve">24 December </w:t>
      </w:r>
      <w:r w:rsidR="00485241" w:rsidRPr="00F529C7">
        <w:rPr>
          <w:sz w:val="22"/>
        </w:rPr>
        <w:t>2017</w:t>
      </w:r>
    </w:p>
    <w:p w:rsidR="00695AFD" w:rsidRPr="00F529C7" w:rsidRDefault="00695AFD" w:rsidP="00B12CEE">
      <w:pPr>
        <w:numPr>
          <w:ilvl w:val="0"/>
          <w:numId w:val="5"/>
        </w:numPr>
        <w:jc w:val="left"/>
        <w:rPr>
          <w:sz w:val="22"/>
        </w:rPr>
      </w:pPr>
      <w:r w:rsidRPr="00F529C7">
        <w:rPr>
          <w:sz w:val="22"/>
        </w:rPr>
        <w:t xml:space="preserve">Royal Children’s Hospital Melbourne – </w:t>
      </w:r>
      <w:hyperlink r:id="rId17" w:history="1">
        <w:r w:rsidR="00B12CEE" w:rsidRPr="00F529C7">
          <w:rPr>
            <w:rStyle w:val="Hyperlink"/>
            <w:color w:val="auto"/>
            <w:sz w:val="22"/>
          </w:rPr>
          <w:t>http://www.rch.org.au/home/</w:t>
        </w:r>
      </w:hyperlink>
      <w:r w:rsidR="00B12CEE" w:rsidRPr="00F529C7">
        <w:rPr>
          <w:sz w:val="22"/>
        </w:rPr>
        <w:t xml:space="preserve"> </w:t>
      </w:r>
      <w:r w:rsidR="001F3BE1" w:rsidRPr="00F529C7">
        <w:rPr>
          <w:sz w:val="22"/>
        </w:rPr>
        <w:t xml:space="preserve">accessed </w:t>
      </w:r>
      <w:r w:rsidR="00F529C7" w:rsidRPr="00F529C7">
        <w:rPr>
          <w:sz w:val="22"/>
        </w:rPr>
        <w:t>2</w:t>
      </w:r>
      <w:r w:rsidR="00485241" w:rsidRPr="00F529C7">
        <w:rPr>
          <w:sz w:val="22"/>
        </w:rPr>
        <w:t xml:space="preserve">4 </w:t>
      </w:r>
      <w:r w:rsidR="00F529C7" w:rsidRPr="00F529C7">
        <w:rPr>
          <w:sz w:val="22"/>
        </w:rPr>
        <w:t xml:space="preserve">December </w:t>
      </w:r>
      <w:r w:rsidR="00485241" w:rsidRPr="00F529C7">
        <w:rPr>
          <w:sz w:val="22"/>
        </w:rPr>
        <w:t>2017</w:t>
      </w:r>
    </w:p>
    <w:p w:rsidR="00695AFD" w:rsidRPr="002C2EBA" w:rsidRDefault="00695AFD" w:rsidP="00B12CEE">
      <w:pPr>
        <w:pBdr>
          <w:bottom w:val="single" w:sz="4" w:space="0" w:color="auto"/>
        </w:pBdr>
        <w:rPr>
          <w:b/>
          <w:sz w:val="22"/>
        </w:rPr>
      </w:pPr>
    </w:p>
    <w:p w:rsidR="00695AFD" w:rsidRPr="002C2EBA" w:rsidRDefault="00695AFD" w:rsidP="00B12CEE">
      <w:pPr>
        <w:pBdr>
          <w:bottom w:val="single" w:sz="4" w:space="0" w:color="auto"/>
        </w:pBdr>
        <w:jc w:val="left"/>
        <w:rPr>
          <w:b/>
          <w:sz w:val="22"/>
        </w:rPr>
      </w:pPr>
      <w:r w:rsidRPr="002C2EBA">
        <w:rPr>
          <w:b/>
          <w:sz w:val="22"/>
        </w:rPr>
        <w:t>Policy review</w:t>
      </w:r>
    </w:p>
    <w:p w:rsidR="00695AFD" w:rsidRPr="006E09DD" w:rsidRDefault="00695AFD" w:rsidP="00695AFD">
      <w:pPr>
        <w:rPr>
          <w:sz w:val="22"/>
        </w:rPr>
      </w:pPr>
    </w:p>
    <w:p w:rsidR="00695AFD" w:rsidRPr="00F06DB1" w:rsidRDefault="00695AFD" w:rsidP="00695AFD">
      <w:pPr>
        <w:jc w:val="both"/>
        <w:rPr>
          <w:sz w:val="22"/>
        </w:rPr>
      </w:pPr>
      <w:r w:rsidRPr="00F06DB1">
        <w:rPr>
          <w:sz w:val="22"/>
        </w:rPr>
        <w:t xml:space="preserve">The </w:t>
      </w:r>
      <w:r w:rsidR="0063688C">
        <w:rPr>
          <w:sz w:val="22"/>
        </w:rPr>
        <w:t>Service</w:t>
      </w:r>
      <w:r w:rsidRPr="00F06DB1">
        <w:rPr>
          <w:sz w:val="22"/>
        </w:rPr>
        <w:t xml:space="preserve"> encourages staff and parents to be actively involved in the annual review of each of its policies and procedures. In addition, the </w:t>
      </w:r>
      <w:r w:rsidR="0063688C">
        <w:rPr>
          <w:sz w:val="22"/>
        </w:rPr>
        <w:t>Service</w:t>
      </w:r>
      <w:r w:rsidRPr="00F06DB1">
        <w:rPr>
          <w:sz w:val="22"/>
        </w:rPr>
        <w:t xml:space="preserve"> will accommodate any new legislative changes as they occur and any issues identified as part the </w:t>
      </w:r>
      <w:r w:rsidR="0063688C">
        <w:rPr>
          <w:sz w:val="22"/>
        </w:rPr>
        <w:t>Service</w:t>
      </w:r>
      <w:r w:rsidRPr="00F06DB1">
        <w:rPr>
          <w:sz w:val="22"/>
        </w:rPr>
        <w:t xml:space="preserve">’s commitment to quality improvement. The </w:t>
      </w:r>
      <w:r w:rsidR="0063688C">
        <w:rPr>
          <w:sz w:val="22"/>
        </w:rPr>
        <w:t>Service</w:t>
      </w:r>
      <w:r w:rsidRPr="00F06DB1">
        <w:rPr>
          <w:sz w:val="22"/>
        </w:rPr>
        <w:t xml:space="preserve"> consults with relevant recognised authorities as part of the annual review to ensure the policy contents are consistent with current research and contemporary views on best practice. </w:t>
      </w:r>
    </w:p>
    <w:p w:rsidR="00695AFD" w:rsidRPr="006E09DD" w:rsidRDefault="00695AFD" w:rsidP="00695AFD">
      <w:pPr>
        <w:rPr>
          <w:b/>
          <w:sz w:val="22"/>
        </w:rPr>
      </w:pPr>
    </w:p>
    <w:p w:rsidR="001A0D58" w:rsidRDefault="001A0D58" w:rsidP="00695AFD">
      <w:pPr>
        <w:jc w:val="left"/>
        <w:rPr>
          <w:b/>
          <w:sz w:val="22"/>
        </w:rPr>
      </w:pPr>
    </w:p>
    <w:bookmarkEnd w:id="0"/>
    <w:p w:rsidR="001A0D58" w:rsidRDefault="001A0D58" w:rsidP="001A0D58">
      <w:pPr>
        <w:pBdr>
          <w:bottom w:val="single" w:sz="4" w:space="1" w:color="auto"/>
        </w:pBdr>
        <w:jc w:val="left"/>
        <w:rPr>
          <w:b/>
          <w:sz w:val="22"/>
        </w:rPr>
      </w:pPr>
      <w:r>
        <w:rPr>
          <w:b/>
          <w:sz w:val="22"/>
        </w:rPr>
        <w:t>Version Control</w:t>
      </w:r>
    </w:p>
    <w:p w:rsidR="001A0D58" w:rsidRDefault="001A0D58" w:rsidP="001A0D58">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200B55" w:rsidTr="00200B55">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B55" w:rsidRDefault="00200B55">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B55" w:rsidRDefault="00200B55">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B55" w:rsidRDefault="00200B55">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B55" w:rsidRDefault="00200B55">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B55" w:rsidRDefault="00200B55">
            <w:pPr>
              <w:jc w:val="left"/>
              <w:rPr>
                <w:b/>
                <w:sz w:val="18"/>
                <w:szCs w:val="18"/>
              </w:rPr>
            </w:pPr>
            <w:r>
              <w:rPr>
                <w:b/>
                <w:sz w:val="18"/>
                <w:szCs w:val="18"/>
              </w:rPr>
              <w:t>Next Review Date</w:t>
            </w:r>
          </w:p>
        </w:tc>
      </w:tr>
      <w:tr w:rsidR="00200B55" w:rsidTr="00200B55">
        <w:tc>
          <w:tcPr>
            <w:tcW w:w="787" w:type="dxa"/>
            <w:tcBorders>
              <w:top w:val="single" w:sz="4" w:space="0" w:color="auto"/>
              <w:left w:val="single" w:sz="4" w:space="0" w:color="auto"/>
              <w:bottom w:val="single" w:sz="4" w:space="0" w:color="auto"/>
              <w:right w:val="single" w:sz="4" w:space="0" w:color="auto"/>
            </w:tcBorders>
            <w:hideMark/>
          </w:tcPr>
          <w:p w:rsidR="00200B55" w:rsidRDefault="00200B55">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200B55" w:rsidRDefault="00200B55">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200B55" w:rsidRDefault="00200B55">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200B55" w:rsidRDefault="00200B55">
            <w:pPr>
              <w:jc w:val="left"/>
              <w:rPr>
                <w:sz w:val="18"/>
                <w:szCs w:val="18"/>
              </w:rPr>
            </w:pPr>
            <w:r>
              <w:rPr>
                <w:sz w:val="18"/>
                <w:szCs w:val="18"/>
              </w:rPr>
              <w:t xml:space="preserve">Updated to changed NQF requirements 1 February 2018. </w:t>
            </w:r>
          </w:p>
          <w:p w:rsidR="00200B55" w:rsidRDefault="00200B55">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200B55" w:rsidRDefault="00200B55">
            <w:pPr>
              <w:jc w:val="left"/>
              <w:rPr>
                <w:sz w:val="18"/>
                <w:szCs w:val="18"/>
              </w:rPr>
            </w:pPr>
          </w:p>
        </w:tc>
      </w:tr>
    </w:tbl>
    <w:p w:rsidR="00695AFD" w:rsidRPr="00823689" w:rsidRDefault="00695AFD" w:rsidP="001A0D58">
      <w:pPr>
        <w:jc w:val="left"/>
      </w:pPr>
    </w:p>
    <w:sectPr w:rsidR="00695AFD" w:rsidRPr="00823689" w:rsidSect="004068A2">
      <w:headerReference w:type="default" r:id="rId18"/>
      <w:footerReference w:type="default" r:id="rId19"/>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6C" w:rsidRDefault="0034536C" w:rsidP="00FC7AF1">
      <w:r>
        <w:separator/>
      </w:r>
    </w:p>
  </w:endnote>
  <w:endnote w:type="continuationSeparator" w:id="0">
    <w:p w:rsidR="0034536C" w:rsidRDefault="0034536C"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5D064C">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907B3E" w:rsidTr="002B6E45">
      <w:trPr>
        <w:trHeight w:val="583"/>
      </w:trPr>
      <w:tc>
        <w:tcPr>
          <w:tcW w:w="7089" w:type="dxa"/>
          <w:shd w:val="clear" w:color="auto" w:fill="808080" w:themeFill="background1" w:themeFillShade="80"/>
        </w:tcPr>
        <w:p w:rsidR="00BF3186" w:rsidRDefault="00907B3E"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911188">
            <w:rPr>
              <w:noProof/>
              <w:color w:val="FFFFFF" w:themeColor="background1"/>
              <w:sz w:val="18"/>
              <w:szCs w:val="18"/>
              <w:lang w:val="en-US"/>
            </w:rPr>
            <w:t xml:space="preserve"> Pty Ltd</w:t>
          </w:r>
          <w:r>
            <w:rPr>
              <w:noProof/>
              <w:color w:val="FFFFFF" w:themeColor="background1"/>
              <w:sz w:val="18"/>
              <w:szCs w:val="18"/>
              <w:lang w:val="en-US"/>
            </w:rPr>
            <w:t xml:space="preserve">) 2012. </w:t>
          </w:r>
          <w:r w:rsidR="00022217">
            <w:rPr>
              <w:noProof/>
              <w:color w:val="FFFFFF" w:themeColor="background1"/>
              <w:sz w:val="18"/>
              <w:szCs w:val="18"/>
              <w:lang w:val="en-US"/>
            </w:rPr>
            <w:t xml:space="preserve">Updated 2018. </w:t>
          </w:r>
        </w:p>
        <w:p w:rsidR="00907B3E" w:rsidRPr="005F4CC1" w:rsidRDefault="00907B3E"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907B3E" w:rsidRPr="00B03206" w:rsidRDefault="00907B3E" w:rsidP="00907B3E">
          <w:pPr>
            <w:pStyle w:val="Footer"/>
            <w:ind w:right="282"/>
            <w:jc w:val="right"/>
            <w:rPr>
              <w:noProof/>
              <w:sz w:val="20"/>
              <w:szCs w:val="20"/>
              <w:lang w:val="en-US"/>
            </w:rPr>
          </w:pPr>
          <w:r w:rsidRPr="00B03206">
            <w:rPr>
              <w:color w:val="FFFFFF" w:themeColor="background1"/>
              <w:sz w:val="20"/>
              <w:szCs w:val="20"/>
            </w:rPr>
            <w:t>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5</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6C" w:rsidRDefault="0034536C" w:rsidP="00FC7AF1">
      <w:r>
        <w:separator/>
      </w:r>
    </w:p>
  </w:footnote>
  <w:footnote w:type="continuationSeparator" w:id="0">
    <w:p w:rsidR="0034536C" w:rsidRDefault="0034536C"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F5D45"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-705485</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CF5D45" w:rsidRDefault="00CF5D45" w:rsidP="00CF5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4" y="171449"/>
                          <a:ext cx="5934134" cy="428625"/>
                        </a:xfrm>
                        <a:prstGeom prst="rect">
                          <a:avLst/>
                        </a:prstGeom>
                        <a:solidFill>
                          <a:srgbClr val="92D050"/>
                        </a:solidFill>
                        <a:ln w="6350">
                          <a:solidFill>
                            <a:srgbClr val="92D050"/>
                          </a:solidFill>
                        </a:ln>
                        <a:effectLst/>
                      </wps:spPr>
                      <wps:txbx>
                        <w:txbxContent>
                          <w:p w:rsidR="00CF5D45" w:rsidRPr="002360B0" w:rsidRDefault="00CF5D45" w:rsidP="00CF5D45">
                            <w:pPr>
                              <w:jc w:val="left"/>
                              <w:rPr>
                                <w:color w:val="FFFFFF" w:themeColor="background1"/>
                                <w:sz w:val="44"/>
                                <w:szCs w:val="44"/>
                              </w:rPr>
                            </w:pPr>
                            <w:r>
                              <w:rPr>
                                <w:color w:val="FFFFFF" w:themeColor="background1"/>
                                <w:sz w:val="44"/>
                                <w:szCs w:val="44"/>
                              </w:rPr>
                              <w:t>Nutrition, Food and Beverages</w:t>
                            </w:r>
                            <w:r w:rsidR="00907B3E">
                              <w:rPr>
                                <w:color w:val="FFFFFF" w:themeColor="background1"/>
                                <w:sz w:val="44"/>
                                <w:szCs w:val="44"/>
                              </w:rPr>
                              <w:t xml:space="preserve"> – Parent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D4D46B" id="Group 3" o:spid="_x0000_s1026" style="position:absolute;left:0;text-align:left;margin-left:-55.55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wYJwMAAHMJAAAOAAAAZHJzL2Uyb0RvYy54bWzsVt1P2zAQf5+0/8Hy+0jSJi2NSKcOVjSJ&#10;ARJMPLuO8yElsWe7TdhfvzsnLS2gCdjE0/qQ2r7zffzufpecfO7qimyENqVsEhoc+ZSIhsu0bPKE&#10;/rhdfjqmxFjWpKySjUjovTD08/zjh5NWxWIkC1mlQhMw0pi4VQktrFWx5xleiJqZI6lEA8JM6ppZ&#10;2OrcSzVrwXpdeSPfn3it1KnSkgtj4PSsF9K5s59lgturLDPCkiqhEJt1T+2eK3x68xMW55qpouRD&#10;GOwNUdSsbMDpztQZs4ysdfnEVF1yLY3M7BGXtSezrOTC5QDZBP6jbM61XCuXSx63udrBBNA+wunN&#10;Zvnl5lqTMk3omJKG1VAi55WMEZpW5TFonGt1o671cJD3O8y2y3SN/5AH6Ryo9ztQRWcJh8PpOJhO&#10;Q8Ceg2wSTaLZgDovoDRPrvHi6+7iNDwG5f6i7/vTEGPytm49jG4XTKuggcwDRubvMLopmBIOeoMI&#10;DBiFW4xuMbsvsiMuJPQNSogRsR0cAxN6+Exs4PDlUO1lPIbfNDrImMVKG3suZE1wkVAN/e3ajm0u&#10;jO3B2aqgUyOrMl2WVeU29+a00mTDgArAoFS2lFTMWDhM6NL9nK1qXX+Xaa8XAeyuXIC6cfddAQ7s&#10;Vg1pobLjyHfXD2T9ndf5nKDTIe/nfUIwVYMpCcfwIXWsQo82rmy36lzDmngl03uojJY9+43iyxLg&#10;u4Dcr5kGukOPwQizV/DIKgnJyGFFSSH1r+fOUR86DKSUtDA+Emp+rpkWAOm3BnpvFoTY89Ztwmg6&#10;go3el6z2Jc26PpVQlgCGpeJuifq22i4zLes7mHQL9Aoi1nDwnVC7XZ7afqjBpORisXBKMGEUsxfN&#10;jeJoGgHD5rjt7phWQwdZaORLue12Fj9qpF4XbzZysbYyK12XIcA9qtAOuAHm4bR4BwpGTyjoOIK+&#10;X0nBUTDDkUJgLAVTKNcMew56ahg/0WwcBmOQ49wKR8eT0T8lo85XOzbORmc+sKfn7wF//sitl5h4&#10;KVXcK2A3tP4z5n0Y415h8GZ3Q3X4CsFPh/29Y9jDt9L8NwAAAP//AwBQSwMEFAAGAAgAAAAhALfd&#10;2yXhAAAADAEAAA8AAABkcnMvZG93bnJldi54bWxMj8FqwzAMhu+DvYPRYLfWcbOEkcUppWw7lcHa&#10;wdjNTdQkNJZD7Cbp2089bTpJ6OPXp3w9206MOPjWkQa1jEAgla5qqdbwdXhbPIPwwVBlOkeo4Yoe&#10;1sX9XW6yyk30ieM+1IJDyGdGQxNCn0npywat8UvXI/Hu5AZrAo9DLavBTBxuO7mKolRa0xJfaEyP&#10;2wbL8/5iNbxPZtrE6nXcnU/b688h+fjeKdT68WHevIAIOIc/GG76rA4FOx3dhSovOg0LxcWshiRe&#10;gbgR0ZOKQRy5S9IUZJHL/08UvwAAAP//AwBQSwECLQAUAAYACAAAACEAtoM4kv4AAADhAQAAEwAA&#10;AAAAAAAAAAAAAAAAAAAAW0NvbnRlbnRfVHlwZXNdLnhtbFBLAQItABQABgAIAAAAIQA4/SH/1gAA&#10;AJQBAAALAAAAAAAAAAAAAAAAAC8BAABfcmVscy8ucmVsc1BLAQItABQABgAIAAAAIQApxcwYJwMA&#10;AHMJAAAOAAAAAAAAAAAAAAAAAC4CAABkcnMvZTJvRG9jLnhtbFBLAQItABQABgAIAAAAIQC33dsl&#10;4QAAAAwBAAAPAAAAAAAAAAAAAAAAAIEFAABkcnMvZG93bnJldi54bWxQSwUGAAAAAAQABADzAAAA&#10;jwY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CF5D45" w:rsidRDefault="00CF5D45" w:rsidP="00CF5D45"/>
                  </w:txbxContent>
                </v:textbox>
              </v:shape>
              <v:shape id="Text Box 5" o:spid="_x0000_s1028" type="#_x0000_t202" style="position:absolute;left:2190;top:1714;width:5934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CF5D45" w:rsidRPr="002360B0" w:rsidRDefault="00CF5D45" w:rsidP="00CF5D45">
                      <w:pPr>
                        <w:jc w:val="left"/>
                        <w:rPr>
                          <w:color w:val="FFFFFF" w:themeColor="background1"/>
                          <w:sz w:val="44"/>
                          <w:szCs w:val="44"/>
                        </w:rPr>
                      </w:pPr>
                      <w:r>
                        <w:rPr>
                          <w:color w:val="FFFFFF" w:themeColor="background1"/>
                          <w:sz w:val="44"/>
                          <w:szCs w:val="44"/>
                        </w:rPr>
                        <w:t>Nutrition, Food and Beverages</w:t>
                      </w:r>
                      <w:r w:rsidR="00907B3E">
                        <w:rPr>
                          <w:color w:val="FFFFFF" w:themeColor="background1"/>
                          <w:sz w:val="44"/>
                          <w:szCs w:val="44"/>
                        </w:rPr>
                        <w:t xml:space="preserve"> – Parent Provided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92883"/>
    <w:multiLevelType w:val="hybridMultilevel"/>
    <w:tmpl w:val="6C5094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9E7682"/>
    <w:multiLevelType w:val="hybridMultilevel"/>
    <w:tmpl w:val="6FE2AA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07C29"/>
    <w:multiLevelType w:val="hybridMultilevel"/>
    <w:tmpl w:val="24D2F10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041D9"/>
    <w:rsid w:val="00022217"/>
    <w:rsid w:val="000331B6"/>
    <w:rsid w:val="00057AB4"/>
    <w:rsid w:val="00081268"/>
    <w:rsid w:val="000909A7"/>
    <w:rsid w:val="000A189F"/>
    <w:rsid w:val="000B1049"/>
    <w:rsid w:val="000D059C"/>
    <w:rsid w:val="000D2052"/>
    <w:rsid w:val="000F4D51"/>
    <w:rsid w:val="000F580E"/>
    <w:rsid w:val="001030E3"/>
    <w:rsid w:val="001123E2"/>
    <w:rsid w:val="001331BB"/>
    <w:rsid w:val="00137C13"/>
    <w:rsid w:val="00143417"/>
    <w:rsid w:val="001616BB"/>
    <w:rsid w:val="0016189E"/>
    <w:rsid w:val="0017456A"/>
    <w:rsid w:val="0018296A"/>
    <w:rsid w:val="00185BF1"/>
    <w:rsid w:val="00190196"/>
    <w:rsid w:val="00195BC3"/>
    <w:rsid w:val="00195EC6"/>
    <w:rsid w:val="001A0D58"/>
    <w:rsid w:val="001B759C"/>
    <w:rsid w:val="001C2523"/>
    <w:rsid w:val="001D0830"/>
    <w:rsid w:val="001D4DA0"/>
    <w:rsid w:val="001E2183"/>
    <w:rsid w:val="001F02AE"/>
    <w:rsid w:val="001F2361"/>
    <w:rsid w:val="001F3BE1"/>
    <w:rsid w:val="00200B55"/>
    <w:rsid w:val="0020502D"/>
    <w:rsid w:val="002214A5"/>
    <w:rsid w:val="002374BF"/>
    <w:rsid w:val="00267336"/>
    <w:rsid w:val="00275981"/>
    <w:rsid w:val="00275D3B"/>
    <w:rsid w:val="00282CD2"/>
    <w:rsid w:val="002A4453"/>
    <w:rsid w:val="002C2D41"/>
    <w:rsid w:val="002C2EBA"/>
    <w:rsid w:val="002F24A1"/>
    <w:rsid w:val="003275FF"/>
    <w:rsid w:val="0034536C"/>
    <w:rsid w:val="00355059"/>
    <w:rsid w:val="00356954"/>
    <w:rsid w:val="003572EA"/>
    <w:rsid w:val="0036374A"/>
    <w:rsid w:val="00370B9F"/>
    <w:rsid w:val="00375006"/>
    <w:rsid w:val="00375176"/>
    <w:rsid w:val="003A28BF"/>
    <w:rsid w:val="003A2A0A"/>
    <w:rsid w:val="003C7458"/>
    <w:rsid w:val="003D4830"/>
    <w:rsid w:val="004068A2"/>
    <w:rsid w:val="00406B34"/>
    <w:rsid w:val="00407C0D"/>
    <w:rsid w:val="004102B4"/>
    <w:rsid w:val="00410DB5"/>
    <w:rsid w:val="00412BE8"/>
    <w:rsid w:val="00432327"/>
    <w:rsid w:val="00470007"/>
    <w:rsid w:val="00471B75"/>
    <w:rsid w:val="00472896"/>
    <w:rsid w:val="004835A3"/>
    <w:rsid w:val="00485241"/>
    <w:rsid w:val="004C4A2D"/>
    <w:rsid w:val="004C4DF6"/>
    <w:rsid w:val="004D2766"/>
    <w:rsid w:val="004D367E"/>
    <w:rsid w:val="004E2CC9"/>
    <w:rsid w:val="00537627"/>
    <w:rsid w:val="00552157"/>
    <w:rsid w:val="005633F1"/>
    <w:rsid w:val="00564A55"/>
    <w:rsid w:val="00567E35"/>
    <w:rsid w:val="005964EA"/>
    <w:rsid w:val="005A5DA9"/>
    <w:rsid w:val="005B1765"/>
    <w:rsid w:val="005D064C"/>
    <w:rsid w:val="005D2588"/>
    <w:rsid w:val="005E18A5"/>
    <w:rsid w:val="005F3004"/>
    <w:rsid w:val="006025F0"/>
    <w:rsid w:val="00606066"/>
    <w:rsid w:val="00614C25"/>
    <w:rsid w:val="006153B5"/>
    <w:rsid w:val="0063688C"/>
    <w:rsid w:val="00643F2C"/>
    <w:rsid w:val="00662419"/>
    <w:rsid w:val="006745EC"/>
    <w:rsid w:val="00677E34"/>
    <w:rsid w:val="00695AFD"/>
    <w:rsid w:val="0069716F"/>
    <w:rsid w:val="006A4D35"/>
    <w:rsid w:val="006B01BA"/>
    <w:rsid w:val="006B04BE"/>
    <w:rsid w:val="006C3A67"/>
    <w:rsid w:val="006C5AB7"/>
    <w:rsid w:val="006D5050"/>
    <w:rsid w:val="006E09DD"/>
    <w:rsid w:val="006E25B2"/>
    <w:rsid w:val="006F0A7F"/>
    <w:rsid w:val="006F32C4"/>
    <w:rsid w:val="0072401F"/>
    <w:rsid w:val="00724383"/>
    <w:rsid w:val="0075337B"/>
    <w:rsid w:val="00762239"/>
    <w:rsid w:val="00776217"/>
    <w:rsid w:val="00797D22"/>
    <w:rsid w:val="007A19AE"/>
    <w:rsid w:val="007A5A6E"/>
    <w:rsid w:val="007C0574"/>
    <w:rsid w:val="007D0217"/>
    <w:rsid w:val="007F17C7"/>
    <w:rsid w:val="00823689"/>
    <w:rsid w:val="0083267D"/>
    <w:rsid w:val="00854C5F"/>
    <w:rsid w:val="00857701"/>
    <w:rsid w:val="00861A63"/>
    <w:rsid w:val="00883AFD"/>
    <w:rsid w:val="00897BAD"/>
    <w:rsid w:val="008A0CF4"/>
    <w:rsid w:val="008B47F2"/>
    <w:rsid w:val="008B56CB"/>
    <w:rsid w:val="008B73AB"/>
    <w:rsid w:val="00903C4C"/>
    <w:rsid w:val="00907B3E"/>
    <w:rsid w:val="00911188"/>
    <w:rsid w:val="00913520"/>
    <w:rsid w:val="00920896"/>
    <w:rsid w:val="009235A1"/>
    <w:rsid w:val="009323D3"/>
    <w:rsid w:val="009477F4"/>
    <w:rsid w:val="00951A24"/>
    <w:rsid w:val="009524DC"/>
    <w:rsid w:val="00953893"/>
    <w:rsid w:val="00976F90"/>
    <w:rsid w:val="009915CD"/>
    <w:rsid w:val="009965FB"/>
    <w:rsid w:val="00997F5E"/>
    <w:rsid w:val="009C030B"/>
    <w:rsid w:val="009C256E"/>
    <w:rsid w:val="009C60C5"/>
    <w:rsid w:val="009E74EF"/>
    <w:rsid w:val="009E7D4C"/>
    <w:rsid w:val="009F0999"/>
    <w:rsid w:val="009F2AE3"/>
    <w:rsid w:val="009F32A4"/>
    <w:rsid w:val="00A07EB2"/>
    <w:rsid w:val="00A14857"/>
    <w:rsid w:val="00A32A7D"/>
    <w:rsid w:val="00A524AA"/>
    <w:rsid w:val="00A57762"/>
    <w:rsid w:val="00A621D4"/>
    <w:rsid w:val="00A62FA4"/>
    <w:rsid w:val="00A80A46"/>
    <w:rsid w:val="00A95329"/>
    <w:rsid w:val="00AA5227"/>
    <w:rsid w:val="00AA7204"/>
    <w:rsid w:val="00AA7B49"/>
    <w:rsid w:val="00AB1006"/>
    <w:rsid w:val="00AB3FE9"/>
    <w:rsid w:val="00AE3DC7"/>
    <w:rsid w:val="00B06C00"/>
    <w:rsid w:val="00B125B6"/>
    <w:rsid w:val="00B12CEE"/>
    <w:rsid w:val="00B32629"/>
    <w:rsid w:val="00B41425"/>
    <w:rsid w:val="00B44C28"/>
    <w:rsid w:val="00B553CE"/>
    <w:rsid w:val="00B55471"/>
    <w:rsid w:val="00B56E16"/>
    <w:rsid w:val="00B64449"/>
    <w:rsid w:val="00B713C8"/>
    <w:rsid w:val="00B72B80"/>
    <w:rsid w:val="00B865D0"/>
    <w:rsid w:val="00B95E8C"/>
    <w:rsid w:val="00BD47AB"/>
    <w:rsid w:val="00BE3192"/>
    <w:rsid w:val="00BF3186"/>
    <w:rsid w:val="00BF6367"/>
    <w:rsid w:val="00C03208"/>
    <w:rsid w:val="00C03B2B"/>
    <w:rsid w:val="00C1191A"/>
    <w:rsid w:val="00C13775"/>
    <w:rsid w:val="00C30719"/>
    <w:rsid w:val="00C32995"/>
    <w:rsid w:val="00C449C0"/>
    <w:rsid w:val="00C52C53"/>
    <w:rsid w:val="00C55B16"/>
    <w:rsid w:val="00C6102F"/>
    <w:rsid w:val="00C61326"/>
    <w:rsid w:val="00C669E5"/>
    <w:rsid w:val="00C72D31"/>
    <w:rsid w:val="00C76CB4"/>
    <w:rsid w:val="00C9794B"/>
    <w:rsid w:val="00C979F2"/>
    <w:rsid w:val="00CB6033"/>
    <w:rsid w:val="00CC6860"/>
    <w:rsid w:val="00CD2641"/>
    <w:rsid w:val="00CE573B"/>
    <w:rsid w:val="00CF5D45"/>
    <w:rsid w:val="00D02988"/>
    <w:rsid w:val="00D26E8B"/>
    <w:rsid w:val="00D30E65"/>
    <w:rsid w:val="00D43804"/>
    <w:rsid w:val="00D93BB1"/>
    <w:rsid w:val="00DB4D3D"/>
    <w:rsid w:val="00DD00A0"/>
    <w:rsid w:val="00DD3E9E"/>
    <w:rsid w:val="00E230EE"/>
    <w:rsid w:val="00E31DB2"/>
    <w:rsid w:val="00E60AA8"/>
    <w:rsid w:val="00E904A9"/>
    <w:rsid w:val="00EA3698"/>
    <w:rsid w:val="00EB1144"/>
    <w:rsid w:val="00EB6F7D"/>
    <w:rsid w:val="00EE005C"/>
    <w:rsid w:val="00EE1650"/>
    <w:rsid w:val="00EF589A"/>
    <w:rsid w:val="00F00724"/>
    <w:rsid w:val="00F019E5"/>
    <w:rsid w:val="00F04075"/>
    <w:rsid w:val="00F06DB1"/>
    <w:rsid w:val="00F13255"/>
    <w:rsid w:val="00F322F8"/>
    <w:rsid w:val="00F3371A"/>
    <w:rsid w:val="00F50E15"/>
    <w:rsid w:val="00F529C7"/>
    <w:rsid w:val="00F85C0B"/>
    <w:rsid w:val="00F975E8"/>
    <w:rsid w:val="00FA1575"/>
    <w:rsid w:val="00FB5AB6"/>
    <w:rsid w:val="00FB63A4"/>
    <w:rsid w:val="00FC7AF1"/>
    <w:rsid w:val="00FD4DCD"/>
    <w:rsid w:val="00FD6401"/>
    <w:rsid w:val="00FD7F85"/>
    <w:rsid w:val="00FE2055"/>
    <w:rsid w:val="00FE7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4FDFCE4A-B9CA-4525-BD22-09068709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b/>
      <w:i/>
      <w:sz w:val="24"/>
    </w:rPr>
  </w:style>
  <w:style w:type="table" w:styleId="TableGrid">
    <w:name w:val="Table Grid"/>
    <w:basedOn w:val="TableNormal"/>
    <w:uiPriority w:val="99"/>
    <w:rsid w:val="0036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color w:val="0000FF"/>
      <w:u w:val="single"/>
    </w:rPr>
  </w:style>
  <w:style w:type="paragraph" w:styleId="NoSpacing">
    <w:name w:val="No Spacing"/>
    <w:uiPriority w:val="1"/>
    <w:qFormat/>
    <w:rsid w:val="006C3A67"/>
    <w:rPr>
      <w:sz w:val="22"/>
      <w:szCs w:val="22"/>
      <w:lang w:val="en-US" w:eastAsia="en-US"/>
    </w:rPr>
  </w:style>
  <w:style w:type="paragraph" w:customStyle="1" w:styleId="Default">
    <w:name w:val="Default"/>
    <w:uiPriority w:val="99"/>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character" w:styleId="FollowedHyperlink">
    <w:name w:val="FollowedHyperlink"/>
    <w:basedOn w:val="DefaultParagraphFont"/>
    <w:uiPriority w:val="99"/>
    <w:semiHidden/>
    <w:unhideWhenUsed/>
    <w:rsid w:val="00B12CEE"/>
    <w:rPr>
      <w:color w:val="800080" w:themeColor="followedHyperlink"/>
      <w:u w:val="single"/>
    </w:rPr>
  </w:style>
  <w:style w:type="character" w:customStyle="1" w:styleId="UnresolvedMention">
    <w:name w:val="Unresolved Mention"/>
    <w:basedOn w:val="DefaultParagraphFont"/>
    <w:uiPriority w:val="99"/>
    <w:semiHidden/>
    <w:unhideWhenUsed/>
    <w:rsid w:val="00174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2659">
      <w:bodyDiv w:val="1"/>
      <w:marLeft w:val="0"/>
      <w:marRight w:val="0"/>
      <w:marTop w:val="0"/>
      <w:marBottom w:val="0"/>
      <w:divBdr>
        <w:top w:val="none" w:sz="0" w:space="0" w:color="auto"/>
        <w:left w:val="none" w:sz="0" w:space="0" w:color="auto"/>
        <w:bottom w:val="none" w:sz="0" w:space="0" w:color="auto"/>
        <w:right w:val="none" w:sz="0" w:space="0" w:color="auto"/>
      </w:divBdr>
    </w:div>
    <w:div w:id="21443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health.qld.gov.au/fact-sheet-expressing-breast-milk-for-your-baby/" TargetMode="External"/><Relationship Id="rId13" Type="http://schemas.openxmlformats.org/officeDocument/2006/relationships/hyperlink" Target="http://www.nutritionaustralia.org/national/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internet/main/publishing.nsf/Content/2CDB3A000FE57A4ECA257BF0001916EC/$File/HEPA%20-%20B5%20Book%20-%20Staff%20and%20Carer%20Book_LR.pdf%20%20" TargetMode="External"/><Relationship Id="rId17" Type="http://schemas.openxmlformats.org/officeDocument/2006/relationships/hyperlink" Target="http://www.rch.org.au/home/%20" TargetMode="External"/><Relationship Id="rId2" Type="http://schemas.openxmlformats.org/officeDocument/2006/relationships/numbering" Target="numbering.xml"/><Relationship Id="rId16" Type="http://schemas.openxmlformats.org/officeDocument/2006/relationships/hyperlink" Target="http://www.health.qld.gov.au/%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health.vic.gov.au/health/healthyliving/childcare-and-healthy-eating%20" TargetMode="External"/><Relationship Id="rId5" Type="http://schemas.openxmlformats.org/officeDocument/2006/relationships/webSettings" Target="webSettings.xml"/><Relationship Id="rId15" Type="http://schemas.openxmlformats.org/officeDocument/2006/relationships/hyperlink" Target="http://www.nhmrc.gov.au/_files_nhmrc/publications/attachments/n34.pdf" TargetMode="External"/><Relationship Id="rId10" Type="http://schemas.openxmlformats.org/officeDocument/2006/relationships/hyperlink" Target="https://www.breastfeeding.asn.au/%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qld.gov.au/__data/assets/pdf_file/0026/160829/formula_feeding.pdf%20" TargetMode="External"/><Relationship Id="rId14" Type="http://schemas.openxmlformats.org/officeDocument/2006/relationships/hyperlink" Target="http://www.nutritionaustralia.org/vic/nutrition-services-early-learning-centr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BFD6-0887-450E-8F35-D2EF67C3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Nutrition, Food and Beverages - Parent Provided</vt:lpstr>
    </vt:vector>
  </TitlesOfParts>
  <Company>Toshiba</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Food and Beverages - Parent Provided</dc:title>
  <dc:subject/>
  <dc:creator>Dr Brenda Abbey</dc:creator>
  <cp:keywords/>
  <dc:description/>
  <cp:lastModifiedBy>Maryann Dziedzic</cp:lastModifiedBy>
  <cp:revision>4</cp:revision>
  <cp:lastPrinted>2018-03-02T02:56:00Z</cp:lastPrinted>
  <dcterms:created xsi:type="dcterms:W3CDTF">2018-02-16T08:00:00Z</dcterms:created>
  <dcterms:modified xsi:type="dcterms:W3CDTF">2018-03-02T02:59:00Z</dcterms:modified>
</cp:coreProperties>
</file>