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91" w:rsidRDefault="00683091" w:rsidP="003C6004">
      <w:pPr>
        <w:rPr>
          <w:b/>
          <w:sz w:val="22"/>
        </w:rPr>
      </w:pPr>
      <w:bookmarkStart w:id="0" w:name="OLE_LINK3"/>
    </w:p>
    <w:p w:rsidR="00683091" w:rsidRDefault="00683091" w:rsidP="003C6004">
      <w:pPr>
        <w:rPr>
          <w:b/>
          <w:sz w:val="22"/>
        </w:rPr>
      </w:pPr>
    </w:p>
    <w:p w:rsidR="00A95329" w:rsidRPr="00073D25" w:rsidRDefault="00F51999" w:rsidP="003C6004">
      <w:pPr>
        <w:rPr>
          <w:sz w:val="22"/>
        </w:rPr>
      </w:pPr>
      <w:r>
        <w:rPr>
          <w:b/>
          <w:sz w:val="22"/>
        </w:rPr>
        <w:t>Canossa Kindergarten</w:t>
      </w:r>
    </w:p>
    <w:p w:rsidR="00A95329" w:rsidRDefault="00A95329" w:rsidP="00A95329">
      <w:pPr>
        <w:pBdr>
          <w:bottom w:val="single" w:sz="4" w:space="1" w:color="auto"/>
        </w:pBdr>
        <w:jc w:val="both"/>
        <w:rPr>
          <w:sz w:val="22"/>
        </w:rPr>
      </w:pPr>
    </w:p>
    <w:p w:rsidR="003C6004" w:rsidRPr="00073D25" w:rsidRDefault="003C6004" w:rsidP="00A95329">
      <w:pPr>
        <w:pBdr>
          <w:bottom w:val="single" w:sz="4" w:space="1" w:color="auto"/>
        </w:pBdr>
        <w:jc w:val="both"/>
        <w:rPr>
          <w:sz w:val="22"/>
        </w:rPr>
      </w:pP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  <w:r w:rsidRPr="00073D25">
        <w:rPr>
          <w:b/>
          <w:sz w:val="22"/>
        </w:rPr>
        <w:t>Background</w:t>
      </w:r>
    </w:p>
    <w:p w:rsidR="00A95329" w:rsidRPr="00073D25" w:rsidRDefault="00A95329" w:rsidP="00A95329">
      <w:pPr>
        <w:autoSpaceDE w:val="0"/>
        <w:autoSpaceDN w:val="0"/>
        <w:adjustRightInd w:val="0"/>
        <w:jc w:val="both"/>
        <w:rPr>
          <w:rFonts w:cs="KristenITC-Regular"/>
          <w:color w:val="008000"/>
          <w:sz w:val="22"/>
        </w:rPr>
      </w:pPr>
    </w:p>
    <w:p w:rsidR="00A95329" w:rsidRDefault="00A95329" w:rsidP="00A95329">
      <w:pPr>
        <w:autoSpaceDE w:val="0"/>
        <w:autoSpaceDN w:val="0"/>
        <w:adjustRightInd w:val="0"/>
        <w:jc w:val="both"/>
        <w:rPr>
          <w:rFonts w:cs="ComicSansMS"/>
          <w:color w:val="008000"/>
          <w:sz w:val="22"/>
        </w:rPr>
      </w:pPr>
      <w:r w:rsidRPr="00073D25">
        <w:rPr>
          <w:rFonts w:cs="RotisSerif"/>
          <w:sz w:val="22"/>
          <w:lang w:eastAsia="en-AU"/>
        </w:rPr>
        <w:t>Healthy teeth and gums are</w:t>
      </w:r>
      <w:r>
        <w:rPr>
          <w:rFonts w:cs="RotisSerif"/>
          <w:sz w:val="22"/>
          <w:lang w:eastAsia="en-AU"/>
        </w:rPr>
        <w:t xml:space="preserve"> necessary </w:t>
      </w:r>
      <w:r w:rsidRPr="00073D25">
        <w:rPr>
          <w:rFonts w:cs="RotisSerif"/>
          <w:sz w:val="22"/>
          <w:lang w:eastAsia="en-AU"/>
        </w:rPr>
        <w:t xml:space="preserve">for general good health. They </w:t>
      </w:r>
      <w:r>
        <w:rPr>
          <w:rFonts w:cs="RotisSerif"/>
          <w:sz w:val="22"/>
          <w:lang w:eastAsia="en-AU"/>
        </w:rPr>
        <w:t xml:space="preserve">play an </w:t>
      </w:r>
      <w:r w:rsidRPr="00073D25">
        <w:rPr>
          <w:rFonts w:cs="RotisSerif"/>
          <w:sz w:val="22"/>
          <w:lang w:eastAsia="en-AU"/>
        </w:rPr>
        <w:t>important</w:t>
      </w:r>
      <w:r>
        <w:rPr>
          <w:rFonts w:cs="RotisSerif"/>
          <w:sz w:val="22"/>
          <w:lang w:eastAsia="en-AU"/>
        </w:rPr>
        <w:t xml:space="preserve"> part</w:t>
      </w:r>
      <w:r w:rsidRPr="00073D25">
        <w:rPr>
          <w:rFonts w:cs="RotisSerif"/>
          <w:sz w:val="22"/>
          <w:lang w:eastAsia="en-AU"/>
        </w:rPr>
        <w:t xml:space="preserve"> in </w:t>
      </w:r>
      <w:r w:rsidRPr="00D22A28">
        <w:rPr>
          <w:rFonts w:cs="RotisSerif"/>
          <w:sz w:val="22"/>
          <w:lang w:eastAsia="en-AU"/>
        </w:rPr>
        <w:t>the digestion of food, correct speech and self-confidence through enhancing our appearance. Keeping healthy primary (baby) teeth until they fall out naturally is crucial</w:t>
      </w:r>
      <w:r w:rsidRPr="00D22A28">
        <w:rPr>
          <w:rFonts w:cs="ComicSansMS"/>
          <w:sz w:val="22"/>
        </w:rPr>
        <w:t xml:space="preserve"> in maintaining the space for permanent (adult) teeth.</w:t>
      </w:r>
      <w:r w:rsidRPr="00073D25">
        <w:rPr>
          <w:rFonts w:cs="ComicSansMS"/>
          <w:color w:val="008000"/>
          <w:sz w:val="22"/>
        </w:rPr>
        <w:t xml:space="preserve"> </w:t>
      </w:r>
    </w:p>
    <w:p w:rsidR="00A95329" w:rsidRDefault="00A95329" w:rsidP="00A95329">
      <w:pPr>
        <w:autoSpaceDE w:val="0"/>
        <w:autoSpaceDN w:val="0"/>
        <w:adjustRightInd w:val="0"/>
        <w:jc w:val="both"/>
        <w:rPr>
          <w:rFonts w:cs="ComicSansMS"/>
          <w:color w:val="008000"/>
          <w:sz w:val="22"/>
        </w:rPr>
      </w:pPr>
    </w:p>
    <w:p w:rsidR="00A95329" w:rsidRPr="00073D25" w:rsidRDefault="00A95329" w:rsidP="00A95329">
      <w:pPr>
        <w:autoSpaceDE w:val="0"/>
        <w:autoSpaceDN w:val="0"/>
        <w:adjustRightInd w:val="0"/>
        <w:jc w:val="both"/>
        <w:rPr>
          <w:rFonts w:cs="ComicSansMS"/>
          <w:color w:val="008000"/>
          <w:sz w:val="22"/>
        </w:rPr>
      </w:pPr>
      <w:r w:rsidRPr="00073D25">
        <w:rPr>
          <w:rFonts w:cs="RotisSerif"/>
          <w:sz w:val="22"/>
          <w:lang w:eastAsia="en-AU"/>
        </w:rPr>
        <w:t>Given the number of children who attend childcare and the length of time they spend in care, childcare plays a significant role in the prevention of teeth and gum diseases in young children</w:t>
      </w:r>
      <w:r>
        <w:rPr>
          <w:rFonts w:cs="RotisSerif"/>
          <w:sz w:val="22"/>
          <w:lang w:eastAsia="en-AU"/>
        </w:rPr>
        <w:t>, and</w:t>
      </w:r>
      <w:r w:rsidRPr="00073D25">
        <w:rPr>
          <w:rFonts w:cs="RotisSerif"/>
          <w:sz w:val="22"/>
          <w:lang w:eastAsia="en-AU"/>
        </w:rPr>
        <w:t xml:space="preserve"> in the development of </w:t>
      </w:r>
      <w:r>
        <w:rPr>
          <w:rFonts w:cs="RotisSerif"/>
          <w:sz w:val="22"/>
          <w:lang w:eastAsia="en-AU"/>
        </w:rPr>
        <w:t>he</w:t>
      </w:r>
      <w:r w:rsidRPr="00073D25">
        <w:rPr>
          <w:rFonts w:cs="RotisSerif"/>
          <w:sz w:val="22"/>
          <w:lang w:eastAsia="en-AU"/>
        </w:rPr>
        <w:t xml:space="preserve">althy teeth and gums. Further, childcare provides the ideal opportunity to instil in children long-term oral health habits.  </w:t>
      </w:r>
      <w:r w:rsidRPr="00073D25">
        <w:rPr>
          <w:rFonts w:cs="ComicSansMS"/>
          <w:color w:val="008000"/>
          <w:sz w:val="22"/>
        </w:rPr>
        <w:t xml:space="preserve"> </w:t>
      </w:r>
    </w:p>
    <w:p w:rsidR="00A95329" w:rsidRPr="00073D25" w:rsidRDefault="00A95329" w:rsidP="00A95329">
      <w:pPr>
        <w:autoSpaceDE w:val="0"/>
        <w:autoSpaceDN w:val="0"/>
        <w:adjustRightInd w:val="0"/>
        <w:jc w:val="both"/>
        <w:rPr>
          <w:rFonts w:cs="ComicSansMS"/>
          <w:color w:val="008000"/>
          <w:sz w:val="22"/>
        </w:rPr>
      </w:pP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  <w:r w:rsidRPr="00073D25">
        <w:rPr>
          <w:b/>
          <w:sz w:val="22"/>
        </w:rPr>
        <w:t>Policy statement</w:t>
      </w:r>
    </w:p>
    <w:p w:rsidR="00A95329" w:rsidRPr="00073D25" w:rsidRDefault="00A95329" w:rsidP="00A95329">
      <w:pPr>
        <w:pStyle w:val="NoSpacing"/>
        <w:jc w:val="both"/>
        <w:rPr>
          <w:rFonts w:cs="Arial"/>
          <w:color w:val="FF0000"/>
        </w:rPr>
      </w:pPr>
    </w:p>
    <w:p w:rsidR="00A95329" w:rsidRPr="00073D25" w:rsidRDefault="00A95329" w:rsidP="00A95329">
      <w:pPr>
        <w:pStyle w:val="NoSpacing"/>
        <w:jc w:val="both"/>
        <w:rPr>
          <w:rFonts w:cs="ComicSansMS"/>
          <w:color w:val="000080"/>
        </w:rPr>
      </w:pPr>
      <w:r w:rsidRPr="00284A75">
        <w:t xml:space="preserve">The </w:t>
      </w:r>
      <w:r w:rsidR="00CC463B">
        <w:t>Service</w:t>
      </w:r>
      <w:r w:rsidRPr="00284A75">
        <w:t xml:space="preserve"> </w:t>
      </w:r>
      <w:r>
        <w:t xml:space="preserve">promotes good dental habits, and is also committed to </w:t>
      </w:r>
      <w:proofErr w:type="spellStart"/>
      <w:r>
        <w:t>minimising</w:t>
      </w:r>
      <w:proofErr w:type="spellEnd"/>
      <w:r>
        <w:t xml:space="preserve"> any risk to children’s dental health from food and drink consumed at the </w:t>
      </w:r>
      <w:r w:rsidR="00CC463B">
        <w:t>Service</w:t>
      </w:r>
      <w:r>
        <w:t xml:space="preserve">. The </w:t>
      </w:r>
      <w:r w:rsidR="00CC463B">
        <w:t>Service</w:t>
      </w:r>
      <w:r>
        <w:t xml:space="preserve"> follows recommendations from Queensland Health (Oral Health Unit), and provides this information to families. </w:t>
      </w:r>
    </w:p>
    <w:p w:rsidR="00A95329" w:rsidRPr="00073D25" w:rsidRDefault="00A95329" w:rsidP="00A95329">
      <w:pPr>
        <w:jc w:val="both"/>
        <w:rPr>
          <w:b/>
          <w:sz w:val="22"/>
        </w:rPr>
      </w:pPr>
      <w:bookmarkStart w:id="1" w:name="OLE_LINK4"/>
    </w:p>
    <w:bookmarkEnd w:id="1"/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  <w:r w:rsidRPr="00073D25">
        <w:rPr>
          <w:b/>
          <w:sz w:val="22"/>
        </w:rPr>
        <w:t>Strategies and practices</w:t>
      </w:r>
    </w:p>
    <w:p w:rsidR="00A95329" w:rsidRPr="00073D25" w:rsidRDefault="00A95329" w:rsidP="00A95329">
      <w:pPr>
        <w:jc w:val="both"/>
        <w:rPr>
          <w:b/>
          <w:sz w:val="22"/>
        </w:rPr>
      </w:pPr>
    </w:p>
    <w:p w:rsidR="00A95329" w:rsidRPr="00073D25" w:rsidRDefault="00A95329" w:rsidP="00A9532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cs="Helvetica"/>
          <w:sz w:val="22"/>
          <w:lang w:eastAsia="en-AU"/>
        </w:rPr>
      </w:pPr>
      <w:r w:rsidRPr="00073D25">
        <w:rPr>
          <w:rFonts w:cs="Arial"/>
          <w:sz w:val="22"/>
        </w:rPr>
        <w:t xml:space="preserve">The </w:t>
      </w:r>
      <w:r w:rsidRPr="00073D25">
        <w:rPr>
          <w:rFonts w:cs="Arial"/>
          <w:i/>
          <w:sz w:val="22"/>
        </w:rPr>
        <w:t>Dental Health Policy</w:t>
      </w:r>
      <w:r w:rsidRPr="00073D25">
        <w:rPr>
          <w:rFonts w:cs="Arial"/>
          <w:sz w:val="22"/>
        </w:rPr>
        <w:t xml:space="preserve"> is explained to parents when they enrol their child in the </w:t>
      </w:r>
      <w:r w:rsidR="00CC463B">
        <w:rPr>
          <w:rFonts w:cs="Arial"/>
          <w:sz w:val="22"/>
        </w:rPr>
        <w:t>Service</w:t>
      </w:r>
      <w:r w:rsidRPr="00073D25">
        <w:rPr>
          <w:rFonts w:cs="Arial"/>
          <w:sz w:val="22"/>
        </w:rPr>
        <w:t xml:space="preserve">, and their attention </w:t>
      </w:r>
      <w:r>
        <w:rPr>
          <w:rFonts w:cs="Arial"/>
          <w:sz w:val="22"/>
        </w:rPr>
        <w:t xml:space="preserve">is </w:t>
      </w:r>
      <w:r w:rsidRPr="00073D25">
        <w:rPr>
          <w:rFonts w:cs="Arial"/>
          <w:sz w:val="22"/>
        </w:rPr>
        <w:t xml:space="preserve">specifically </w:t>
      </w:r>
      <w:r>
        <w:rPr>
          <w:rFonts w:cs="Arial"/>
          <w:sz w:val="22"/>
        </w:rPr>
        <w:t xml:space="preserve">drawn </w:t>
      </w:r>
      <w:r w:rsidRPr="00073D25">
        <w:rPr>
          <w:rFonts w:cs="Arial"/>
          <w:sz w:val="22"/>
        </w:rPr>
        <w:t xml:space="preserve">to their responsibilities under this Policy. The </w:t>
      </w:r>
      <w:r w:rsidRPr="00073D25">
        <w:rPr>
          <w:rFonts w:cs="Arial"/>
          <w:i/>
          <w:sz w:val="22"/>
        </w:rPr>
        <w:t>Dental Health Policy</w:t>
      </w:r>
      <w:r w:rsidRPr="00073D25">
        <w:rPr>
          <w:rFonts w:cs="Arial"/>
          <w:sz w:val="22"/>
        </w:rPr>
        <w:t xml:space="preserve"> is also included in the Parent Handbook given to all parents.</w:t>
      </w:r>
      <w:r>
        <w:rPr>
          <w:rFonts w:cs="Arial"/>
          <w:sz w:val="22"/>
        </w:rPr>
        <w:t xml:space="preserve"> </w:t>
      </w:r>
    </w:p>
    <w:p w:rsidR="00A95329" w:rsidRPr="00073D25" w:rsidRDefault="00A95329" w:rsidP="00A95329">
      <w:pPr>
        <w:autoSpaceDE w:val="0"/>
        <w:autoSpaceDN w:val="0"/>
        <w:adjustRightInd w:val="0"/>
        <w:ind w:left="360"/>
        <w:jc w:val="both"/>
        <w:rPr>
          <w:rFonts w:cs="Helvetica"/>
          <w:color w:val="0000FF"/>
          <w:sz w:val="22"/>
          <w:lang w:eastAsia="en-AU"/>
        </w:rPr>
      </w:pPr>
      <w:r w:rsidRPr="00073D25">
        <w:rPr>
          <w:rFonts w:cs="Arial"/>
          <w:color w:val="FF0000"/>
          <w:sz w:val="22"/>
        </w:rPr>
        <w:t xml:space="preserve">  </w:t>
      </w:r>
    </w:p>
    <w:p w:rsidR="00A95329" w:rsidRDefault="00A95329" w:rsidP="00A9532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</w:rPr>
      </w:pPr>
      <w:r w:rsidRPr="00073D25">
        <w:rPr>
          <w:sz w:val="22"/>
        </w:rPr>
        <w:t>The oral health message</w:t>
      </w:r>
      <w:r>
        <w:rPr>
          <w:sz w:val="22"/>
        </w:rPr>
        <w:t xml:space="preserve"> </w:t>
      </w:r>
      <w:r w:rsidRPr="00073D25">
        <w:rPr>
          <w:sz w:val="22"/>
        </w:rPr>
        <w:t xml:space="preserve">is promoted amongst families through notice boards, newsletters, information nights, verbal communication, parent-educator meetings, pamphlets and dental health educational materials such as Happy Teeth (Queensland Health), </w:t>
      </w:r>
      <w:r>
        <w:rPr>
          <w:sz w:val="22"/>
        </w:rPr>
        <w:t xml:space="preserve">and the </w:t>
      </w:r>
      <w:r w:rsidRPr="00073D25">
        <w:rPr>
          <w:sz w:val="22"/>
        </w:rPr>
        <w:t>celebration of Dental Awareness Month (August)</w:t>
      </w:r>
      <w:r>
        <w:rPr>
          <w:sz w:val="22"/>
        </w:rPr>
        <w:t>. Due c</w:t>
      </w:r>
      <w:r w:rsidRPr="00073D25">
        <w:rPr>
          <w:sz w:val="22"/>
        </w:rPr>
        <w:t xml:space="preserve">onsideration is given to home languages. </w:t>
      </w:r>
    </w:p>
    <w:p w:rsidR="00A95329" w:rsidRDefault="00A95329" w:rsidP="00A95329">
      <w:pPr>
        <w:autoSpaceDE w:val="0"/>
        <w:autoSpaceDN w:val="0"/>
        <w:adjustRightInd w:val="0"/>
        <w:jc w:val="both"/>
        <w:rPr>
          <w:sz w:val="22"/>
        </w:rPr>
      </w:pPr>
    </w:p>
    <w:p w:rsidR="00A95329" w:rsidRPr="002E17F1" w:rsidRDefault="00A95329" w:rsidP="00A9532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</w:rPr>
      </w:pPr>
      <w:r>
        <w:rPr>
          <w:rFonts w:cs="Arial"/>
          <w:sz w:val="22"/>
        </w:rPr>
        <w:t xml:space="preserve">Educators are provided with professional development opportunities in oral health and receive resources, such as the Happy Teeth Resource Kit, and updates from the Oral Health Unit (Queensland). </w:t>
      </w:r>
    </w:p>
    <w:p w:rsidR="00A95329" w:rsidRDefault="00A95329" w:rsidP="00A95329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A95329" w:rsidRPr="00AC5372" w:rsidRDefault="00A95329" w:rsidP="00152C5C">
      <w:pPr>
        <w:numPr>
          <w:ilvl w:val="0"/>
          <w:numId w:val="45"/>
        </w:numPr>
        <w:jc w:val="both"/>
        <w:rPr>
          <w:rFonts w:cs="Arial"/>
          <w:sz w:val="22"/>
        </w:rPr>
      </w:pPr>
      <w:r w:rsidRPr="00AC5372">
        <w:rPr>
          <w:sz w:val="22"/>
        </w:rPr>
        <w:t>Children</w:t>
      </w:r>
      <w:r w:rsidR="00F51999">
        <w:rPr>
          <w:sz w:val="22"/>
        </w:rPr>
        <w:t xml:space="preserve"> are given water when thirsty.</w:t>
      </w:r>
      <w:r w:rsidRPr="00AC5372">
        <w:rPr>
          <w:sz w:val="22"/>
        </w:rPr>
        <w:t xml:space="preserve"> </w:t>
      </w:r>
    </w:p>
    <w:p w:rsidR="00AC5372" w:rsidRPr="00AC5372" w:rsidRDefault="00AC5372" w:rsidP="00AC5372">
      <w:pPr>
        <w:ind w:left="720"/>
        <w:jc w:val="both"/>
        <w:rPr>
          <w:rFonts w:cs="Arial"/>
          <w:sz w:val="22"/>
        </w:rPr>
      </w:pPr>
    </w:p>
    <w:p w:rsidR="00A95329" w:rsidRPr="003160A0" w:rsidRDefault="00A95329" w:rsidP="00A9532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Humanist521BT-Light"/>
          <w:sz w:val="22"/>
        </w:rPr>
      </w:pPr>
      <w:r w:rsidRPr="003160A0">
        <w:rPr>
          <w:sz w:val="22"/>
        </w:rPr>
        <w:t xml:space="preserve">Parents are </w:t>
      </w:r>
      <w:r>
        <w:rPr>
          <w:sz w:val="22"/>
        </w:rPr>
        <w:t xml:space="preserve">asked </w:t>
      </w:r>
      <w:r w:rsidRPr="003160A0">
        <w:rPr>
          <w:sz w:val="22"/>
        </w:rPr>
        <w:t xml:space="preserve">to provide </w:t>
      </w:r>
      <w:r w:rsidRPr="003160A0">
        <w:rPr>
          <w:rFonts w:cs="ComicSansMS"/>
          <w:sz w:val="22"/>
        </w:rPr>
        <w:t>healthy foods in their children’s lunchboxes, particularly f</w:t>
      </w:r>
      <w:r w:rsidRPr="003160A0">
        <w:rPr>
          <w:sz w:val="22"/>
        </w:rPr>
        <w:t>ruit and vege</w:t>
      </w:r>
      <w:r w:rsidR="00F51999">
        <w:rPr>
          <w:sz w:val="22"/>
        </w:rPr>
        <w:t xml:space="preserve">tables for morning </w:t>
      </w:r>
      <w:bookmarkStart w:id="2" w:name="_GoBack"/>
      <w:bookmarkEnd w:id="2"/>
      <w:r w:rsidRPr="003160A0">
        <w:rPr>
          <w:sz w:val="22"/>
        </w:rPr>
        <w:t xml:space="preserve">tea. </w:t>
      </w:r>
      <w:r w:rsidRPr="003160A0">
        <w:rPr>
          <w:rFonts w:cs="Arial"/>
          <w:sz w:val="22"/>
        </w:rPr>
        <w:t xml:space="preserve">Foods high in sugar in children’s lunchboxes are returned home, and educators may suggest alternatives. </w:t>
      </w:r>
    </w:p>
    <w:p w:rsidR="00A95329" w:rsidRPr="00073D25" w:rsidRDefault="00A95329" w:rsidP="00A95329">
      <w:pPr>
        <w:jc w:val="both"/>
        <w:rPr>
          <w:color w:val="008000"/>
          <w:sz w:val="22"/>
          <w:lang w:val="en-US"/>
        </w:rPr>
      </w:pPr>
    </w:p>
    <w:p w:rsidR="00A95329" w:rsidRPr="002E17F1" w:rsidRDefault="00A95329" w:rsidP="00A9532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omicSansMS"/>
          <w:sz w:val="22"/>
        </w:rPr>
      </w:pPr>
      <w:r w:rsidRPr="002E17F1">
        <w:rPr>
          <w:rFonts w:cs="Arial"/>
          <w:sz w:val="22"/>
        </w:rPr>
        <w:t>Children are encouraged to drink water or rinse their mouth out after eating.</w:t>
      </w:r>
      <w:r>
        <w:rPr>
          <w:rFonts w:cs="Arial"/>
          <w:sz w:val="22"/>
        </w:rPr>
        <w:t xml:space="preserve"> </w:t>
      </w:r>
    </w:p>
    <w:p w:rsidR="00A95329" w:rsidRPr="002E17F1" w:rsidRDefault="00A95329" w:rsidP="00A95329">
      <w:pPr>
        <w:autoSpaceDE w:val="0"/>
        <w:autoSpaceDN w:val="0"/>
        <w:adjustRightInd w:val="0"/>
        <w:ind w:left="360"/>
        <w:jc w:val="both"/>
        <w:rPr>
          <w:rFonts w:cs="ComicSansMS"/>
          <w:sz w:val="22"/>
        </w:rPr>
      </w:pPr>
    </w:p>
    <w:p w:rsidR="00A95329" w:rsidRDefault="00A95329" w:rsidP="00A95329">
      <w:pPr>
        <w:numPr>
          <w:ilvl w:val="0"/>
          <w:numId w:val="13"/>
        </w:numPr>
        <w:jc w:val="both"/>
        <w:rPr>
          <w:sz w:val="22"/>
          <w:lang w:val="en-US"/>
        </w:rPr>
      </w:pPr>
      <w:r w:rsidRPr="00332A61">
        <w:rPr>
          <w:sz w:val="22"/>
          <w:lang w:val="en-US"/>
        </w:rPr>
        <w:t xml:space="preserve">Educators use opportunities that arise during children’s play and at meal and snack times to talk to the children about dental health issues. The </w:t>
      </w:r>
      <w:r w:rsidR="00CC463B">
        <w:rPr>
          <w:sz w:val="22"/>
          <w:lang w:val="en-US"/>
        </w:rPr>
        <w:t>Service</w:t>
      </w:r>
      <w:r w:rsidRPr="00332A61">
        <w:rPr>
          <w:sz w:val="22"/>
          <w:lang w:val="en-US"/>
        </w:rPr>
        <w:t xml:space="preserve"> resources include plastic ‘healthy food,’ and toys and dolls with teeth. When appropriate to children’s interest and the program, </w:t>
      </w:r>
      <w:proofErr w:type="gramStart"/>
      <w:r w:rsidRPr="00332A61">
        <w:rPr>
          <w:sz w:val="22"/>
          <w:lang w:val="en-US"/>
        </w:rPr>
        <w:t>educators</w:t>
      </w:r>
      <w:proofErr w:type="gramEnd"/>
      <w:r w:rsidRPr="00332A61">
        <w:rPr>
          <w:sz w:val="22"/>
          <w:lang w:val="en-US"/>
        </w:rPr>
        <w:t xml:space="preserve"> intentionality teach children about looking after their teeth through activities such </w:t>
      </w:r>
      <w:r w:rsidRPr="00332A61">
        <w:rPr>
          <w:sz w:val="22"/>
          <w:lang w:val="en-US"/>
        </w:rPr>
        <w:lastRenderedPageBreak/>
        <w:t>as: action songs and rhymes; books puzzles and games; food preparation; and, cooking experiences.</w:t>
      </w:r>
      <w:r>
        <w:rPr>
          <w:sz w:val="22"/>
          <w:lang w:val="en-US"/>
        </w:rPr>
        <w:t xml:space="preserve"> </w:t>
      </w:r>
    </w:p>
    <w:p w:rsidR="00A95329" w:rsidRDefault="00A95329" w:rsidP="00A95329">
      <w:pPr>
        <w:jc w:val="both"/>
        <w:rPr>
          <w:sz w:val="22"/>
          <w:lang w:val="en-US"/>
        </w:rPr>
      </w:pPr>
    </w:p>
    <w:p w:rsidR="00A95329" w:rsidRPr="00F51999" w:rsidRDefault="00A95329" w:rsidP="00F5199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Helvetica"/>
          <w:sz w:val="22"/>
          <w:lang w:eastAsia="en-AU"/>
        </w:rPr>
      </w:pPr>
      <w:r w:rsidRPr="002E17F1">
        <w:rPr>
          <w:rFonts w:cs="Helvetica"/>
          <w:sz w:val="22"/>
          <w:lang w:eastAsia="en-AU"/>
        </w:rPr>
        <w:t>T</w:t>
      </w:r>
      <w:r w:rsidRPr="002E17F1">
        <w:rPr>
          <w:rFonts w:cs="Arial"/>
          <w:sz w:val="22"/>
        </w:rPr>
        <w:t xml:space="preserve">o ensure that children receive early positive experiences, the </w:t>
      </w:r>
      <w:r w:rsidR="00CC463B">
        <w:rPr>
          <w:rFonts w:cs="Arial"/>
          <w:sz w:val="22"/>
        </w:rPr>
        <w:t>Service</w:t>
      </w:r>
      <w:r w:rsidRPr="002E17F1">
        <w:rPr>
          <w:rFonts w:cs="Arial"/>
          <w:sz w:val="22"/>
        </w:rPr>
        <w:t xml:space="preserve"> arranges for dentists and appropriate allied dental health</w:t>
      </w:r>
      <w:r w:rsidR="00891E45">
        <w:rPr>
          <w:rFonts w:cs="Arial"/>
          <w:sz w:val="22"/>
        </w:rPr>
        <w:t xml:space="preserve"> professionals </w:t>
      </w:r>
      <w:r w:rsidRPr="002E17F1">
        <w:rPr>
          <w:rFonts w:cs="Arial"/>
          <w:sz w:val="22"/>
        </w:rPr>
        <w:t xml:space="preserve">to visit the </w:t>
      </w:r>
      <w:r w:rsidR="00CC463B">
        <w:rPr>
          <w:rFonts w:cs="Arial"/>
          <w:sz w:val="22"/>
        </w:rPr>
        <w:t>Service</w:t>
      </w:r>
      <w:r w:rsidRPr="002E17F1">
        <w:rPr>
          <w:rFonts w:cs="Arial"/>
          <w:sz w:val="22"/>
        </w:rPr>
        <w:t xml:space="preserve"> to talk to the children about dental hygiene. </w:t>
      </w: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sz w:val="22"/>
        </w:rPr>
      </w:pPr>
      <w:r w:rsidRPr="00073D25">
        <w:rPr>
          <w:b/>
          <w:sz w:val="22"/>
        </w:rPr>
        <w:t>Responsibilities of parents</w:t>
      </w:r>
    </w:p>
    <w:p w:rsidR="00A95329" w:rsidRPr="00073D25" w:rsidRDefault="00A95329" w:rsidP="00A95329">
      <w:pPr>
        <w:jc w:val="both"/>
        <w:rPr>
          <w:i/>
          <w:sz w:val="22"/>
        </w:rPr>
      </w:pPr>
    </w:p>
    <w:p w:rsidR="00A95329" w:rsidRDefault="00A95329" w:rsidP="00A95329">
      <w:pPr>
        <w:pStyle w:val="NoSpacing"/>
        <w:numPr>
          <w:ilvl w:val="0"/>
          <w:numId w:val="14"/>
        </w:numPr>
        <w:jc w:val="both"/>
      </w:pPr>
      <w:r>
        <w:rPr>
          <w:rFonts w:cs="Arial"/>
        </w:rPr>
        <w:t>To p</w:t>
      </w:r>
      <w:r w:rsidRPr="00073D25">
        <w:rPr>
          <w:rFonts w:cs="Arial"/>
        </w:rPr>
        <w:t xml:space="preserve">rovide nutritious foods and drinks according to information </w:t>
      </w:r>
      <w:r>
        <w:rPr>
          <w:rFonts w:cs="Arial"/>
        </w:rPr>
        <w:t xml:space="preserve">contained in the </w:t>
      </w:r>
      <w:r w:rsidRPr="00332A61">
        <w:rPr>
          <w:rFonts w:cs="Arial"/>
          <w:i/>
        </w:rPr>
        <w:t xml:space="preserve">Dental Health Policy </w:t>
      </w:r>
      <w:r>
        <w:rPr>
          <w:rFonts w:cs="Arial"/>
        </w:rPr>
        <w:t xml:space="preserve">and in the </w:t>
      </w:r>
      <w:r w:rsidRPr="00332A61">
        <w:rPr>
          <w:rFonts w:cs="Arial"/>
          <w:i/>
        </w:rPr>
        <w:t>Nutrition</w:t>
      </w:r>
      <w:r>
        <w:rPr>
          <w:rFonts w:cs="Arial"/>
          <w:i/>
        </w:rPr>
        <w:t>, Food and Beverages</w:t>
      </w:r>
      <w:r w:rsidRPr="00332A61">
        <w:rPr>
          <w:rFonts w:cs="Arial"/>
          <w:i/>
        </w:rPr>
        <w:t xml:space="preserve"> Policy</w:t>
      </w:r>
      <w:r w:rsidRPr="00073D25">
        <w:rPr>
          <w:rFonts w:cs="Arial"/>
        </w:rPr>
        <w:t>. F</w:t>
      </w:r>
      <w:r w:rsidRPr="00073D25">
        <w:t>ood and drinks brought from home should be nutritious, provide variety and follow current dietary guidelines.</w:t>
      </w:r>
    </w:p>
    <w:p w:rsidR="00A95329" w:rsidRPr="00073D25" w:rsidRDefault="00A95329" w:rsidP="00A95329">
      <w:pPr>
        <w:pStyle w:val="NoSpacing"/>
        <w:jc w:val="both"/>
      </w:pPr>
    </w:p>
    <w:p w:rsidR="00A1700E" w:rsidRPr="00B13014" w:rsidRDefault="00A1700E" w:rsidP="00A1700E">
      <w:pPr>
        <w:pBdr>
          <w:bottom w:val="single" w:sz="4" w:space="1" w:color="auto"/>
        </w:pBdr>
        <w:jc w:val="both"/>
        <w:rPr>
          <w:sz w:val="22"/>
        </w:rPr>
      </w:pPr>
      <w:r>
        <w:rPr>
          <w:b/>
          <w:sz w:val="22"/>
        </w:rPr>
        <w:t>Procedure and forms</w:t>
      </w:r>
    </w:p>
    <w:p w:rsidR="00A1700E" w:rsidRPr="00B13014" w:rsidRDefault="00A1700E" w:rsidP="00A1700E">
      <w:pPr>
        <w:jc w:val="both"/>
        <w:rPr>
          <w:i/>
          <w:color w:val="FF0000"/>
          <w:sz w:val="22"/>
        </w:rPr>
      </w:pPr>
    </w:p>
    <w:p w:rsidR="00A1700E" w:rsidRPr="00B13014" w:rsidRDefault="00A1700E" w:rsidP="00A1700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 xml:space="preserve">N/A </w:t>
      </w:r>
      <w:r w:rsidRPr="00B13014">
        <w:rPr>
          <w:sz w:val="22"/>
        </w:rPr>
        <w:t xml:space="preserve"> </w:t>
      </w:r>
    </w:p>
    <w:p w:rsidR="00A1700E" w:rsidRDefault="00A1700E" w:rsidP="00A95329">
      <w:pPr>
        <w:pBdr>
          <w:bottom w:val="single" w:sz="4" w:space="1" w:color="auto"/>
        </w:pBdr>
        <w:jc w:val="both"/>
        <w:rPr>
          <w:b/>
          <w:sz w:val="22"/>
        </w:rPr>
      </w:pP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  <w:r w:rsidRPr="00073D25">
        <w:rPr>
          <w:b/>
          <w:sz w:val="22"/>
        </w:rPr>
        <w:t>Links to other policies</w:t>
      </w:r>
    </w:p>
    <w:p w:rsidR="00A95329" w:rsidRPr="008D21C7" w:rsidRDefault="00A95329" w:rsidP="00A95329">
      <w:pPr>
        <w:jc w:val="both"/>
        <w:rPr>
          <w:sz w:val="22"/>
        </w:rPr>
      </w:pPr>
    </w:p>
    <w:p w:rsidR="00A95329" w:rsidRPr="0067782E" w:rsidRDefault="00A95329" w:rsidP="00A95329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  <w:lang w:val="en-US"/>
        </w:rPr>
        <w:t>Food Preparation, Storage and Handling Policy</w:t>
      </w:r>
    </w:p>
    <w:p w:rsidR="00A95329" w:rsidRPr="008D21C7" w:rsidRDefault="00A95329" w:rsidP="00A95329">
      <w:pPr>
        <w:numPr>
          <w:ilvl w:val="0"/>
          <w:numId w:val="15"/>
        </w:numPr>
        <w:jc w:val="both"/>
        <w:rPr>
          <w:sz w:val="22"/>
        </w:rPr>
      </w:pPr>
      <w:r w:rsidRPr="008D21C7">
        <w:rPr>
          <w:sz w:val="22"/>
          <w:lang w:val="en-US"/>
        </w:rPr>
        <w:t>Nutrition</w:t>
      </w:r>
      <w:r>
        <w:rPr>
          <w:sz w:val="22"/>
          <w:lang w:val="en-US"/>
        </w:rPr>
        <w:t xml:space="preserve">, Food and Beverage </w:t>
      </w:r>
      <w:r w:rsidRPr="008D21C7">
        <w:rPr>
          <w:sz w:val="22"/>
          <w:lang w:val="en-US"/>
        </w:rPr>
        <w:t>Policy</w:t>
      </w:r>
    </w:p>
    <w:p w:rsidR="00A95329" w:rsidRPr="00073D25" w:rsidRDefault="00A95329" w:rsidP="00A95329">
      <w:pPr>
        <w:ind w:left="360"/>
        <w:jc w:val="both"/>
        <w:rPr>
          <w:color w:val="FF0000"/>
          <w:sz w:val="22"/>
        </w:rPr>
      </w:pP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  <w:r w:rsidRPr="001B6C5A">
        <w:rPr>
          <w:b/>
          <w:sz w:val="22"/>
        </w:rPr>
        <w:t xml:space="preserve">Links Education and Care </w:t>
      </w:r>
      <w:r w:rsidR="00CC463B">
        <w:rPr>
          <w:b/>
          <w:sz w:val="22"/>
        </w:rPr>
        <w:t>Services</w:t>
      </w:r>
      <w:r w:rsidRPr="001B6C5A">
        <w:rPr>
          <w:b/>
          <w:sz w:val="22"/>
        </w:rPr>
        <w:t xml:space="preserve"> National Regulations</w:t>
      </w:r>
      <w:r>
        <w:rPr>
          <w:b/>
          <w:sz w:val="22"/>
        </w:rPr>
        <w:t xml:space="preserve"> 2011, </w:t>
      </w:r>
      <w:r w:rsidRPr="001B6C5A">
        <w:rPr>
          <w:b/>
          <w:sz w:val="22"/>
        </w:rPr>
        <w:t>National Quality Standard</w:t>
      </w:r>
      <w:r>
        <w:rPr>
          <w:b/>
          <w:sz w:val="22"/>
        </w:rPr>
        <w:t xml:space="preserve"> 2011</w:t>
      </w:r>
    </w:p>
    <w:p w:rsidR="00A95329" w:rsidRPr="00073D25" w:rsidRDefault="00A95329" w:rsidP="00A95329">
      <w:pPr>
        <w:pStyle w:val="NoSpacing"/>
        <w:jc w:val="both"/>
        <w:rPr>
          <w:rFonts w:cs="Arial"/>
          <w:bCs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9"/>
        <w:gridCol w:w="827"/>
        <w:gridCol w:w="7360"/>
      </w:tblGrid>
      <w:tr w:rsidR="00A95329" w:rsidRPr="002940D7" w:rsidTr="005E18A5">
        <w:tc>
          <w:tcPr>
            <w:tcW w:w="669" w:type="dxa"/>
          </w:tcPr>
          <w:p w:rsidR="00A95329" w:rsidRPr="002940D7" w:rsidRDefault="00A95329" w:rsidP="005E18A5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2940D7">
              <w:rPr>
                <w:rFonts w:cs="Calibri"/>
                <w:sz w:val="18"/>
                <w:szCs w:val="18"/>
              </w:rPr>
              <w:t>Regs</w:t>
            </w:r>
            <w:proofErr w:type="spellEnd"/>
          </w:p>
        </w:tc>
        <w:tc>
          <w:tcPr>
            <w:tcW w:w="827" w:type="dxa"/>
          </w:tcPr>
          <w:p w:rsidR="00A95329" w:rsidRPr="002940D7" w:rsidRDefault="00A95329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7360" w:type="dxa"/>
          </w:tcPr>
          <w:p w:rsidR="00A95329" w:rsidRPr="002940D7" w:rsidRDefault="00A95329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 xml:space="preserve">Health, hygiene and safe food practices </w:t>
            </w:r>
          </w:p>
        </w:tc>
      </w:tr>
    </w:tbl>
    <w:p w:rsidR="00A95329" w:rsidRDefault="00A95329" w:rsidP="00A95329">
      <w:pPr>
        <w:pStyle w:val="NoSpacing"/>
        <w:jc w:val="both"/>
        <w:rPr>
          <w:rFonts w:cs="Arial"/>
          <w:bCs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5"/>
        <w:gridCol w:w="822"/>
        <w:gridCol w:w="7369"/>
      </w:tblGrid>
      <w:tr w:rsidR="00A95329" w:rsidRPr="002940D7" w:rsidTr="005E18A5">
        <w:tc>
          <w:tcPr>
            <w:tcW w:w="665" w:type="dxa"/>
          </w:tcPr>
          <w:p w:rsidR="00A95329" w:rsidRPr="002940D7" w:rsidRDefault="00A95329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Cs/>
              </w:rPr>
              <w:t xml:space="preserve"> </w:t>
            </w:r>
            <w:r w:rsidRPr="002940D7">
              <w:rPr>
                <w:rFonts w:cs="Calibri"/>
                <w:sz w:val="18"/>
                <w:szCs w:val="18"/>
              </w:rPr>
              <w:t>QA</w:t>
            </w:r>
          </w:p>
        </w:tc>
        <w:tc>
          <w:tcPr>
            <w:tcW w:w="822" w:type="dxa"/>
          </w:tcPr>
          <w:p w:rsidR="00A95329" w:rsidRPr="002940D7" w:rsidRDefault="00A95329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  <w:r w:rsidR="00C451DE">
              <w:rPr>
                <w:rFonts w:cs="Calibri"/>
                <w:sz w:val="18"/>
                <w:szCs w:val="18"/>
              </w:rPr>
              <w:t>1.2</w:t>
            </w:r>
          </w:p>
        </w:tc>
        <w:tc>
          <w:tcPr>
            <w:tcW w:w="7369" w:type="dxa"/>
          </w:tcPr>
          <w:p w:rsidR="00A95329" w:rsidRPr="002940D7" w:rsidRDefault="00B43F45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B43F45">
              <w:rPr>
                <w:rStyle w:val="A15"/>
                <w:rFonts w:ascii="Calibri" w:hAnsi="Calibri" w:cs="Calibri"/>
                <w:sz w:val="18"/>
                <w:szCs w:val="18"/>
              </w:rPr>
              <w:t>Effective illness and injury management and hygiene practices are promoted and implemented</w:t>
            </w:r>
          </w:p>
        </w:tc>
      </w:tr>
      <w:tr w:rsidR="00A95329" w:rsidRPr="002940D7" w:rsidTr="005E18A5">
        <w:tc>
          <w:tcPr>
            <w:tcW w:w="665" w:type="dxa"/>
          </w:tcPr>
          <w:p w:rsidR="00A95329" w:rsidRDefault="00A95329" w:rsidP="005E18A5">
            <w:pPr>
              <w:rPr>
                <w:rFonts w:cs="Arial"/>
                <w:bCs/>
              </w:rPr>
            </w:pPr>
          </w:p>
        </w:tc>
        <w:tc>
          <w:tcPr>
            <w:tcW w:w="822" w:type="dxa"/>
          </w:tcPr>
          <w:p w:rsidR="00A95329" w:rsidRDefault="00A95329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  <w:r w:rsidR="00B43F45">
              <w:rPr>
                <w:rFonts w:cs="Calibri"/>
                <w:sz w:val="18"/>
                <w:szCs w:val="18"/>
              </w:rPr>
              <w:t>1.3</w:t>
            </w:r>
          </w:p>
        </w:tc>
        <w:tc>
          <w:tcPr>
            <w:tcW w:w="7369" w:type="dxa"/>
          </w:tcPr>
          <w:p w:rsidR="00A95329" w:rsidRDefault="00B43F45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B43F45">
              <w:rPr>
                <w:rStyle w:val="A15"/>
                <w:rFonts w:ascii="Calibri" w:hAnsi="Calibri" w:cs="Calibri"/>
                <w:sz w:val="18"/>
                <w:szCs w:val="18"/>
              </w:rPr>
              <w:t>Healthy eating and physical activity are promoted and appropriate for each child</w:t>
            </w:r>
          </w:p>
        </w:tc>
      </w:tr>
    </w:tbl>
    <w:p w:rsidR="00A95329" w:rsidRDefault="00A95329" w:rsidP="00A95329">
      <w:pPr>
        <w:jc w:val="both"/>
        <w:rPr>
          <w:sz w:val="22"/>
        </w:rPr>
      </w:pP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  <w:r w:rsidRPr="00073D25">
        <w:rPr>
          <w:b/>
          <w:sz w:val="22"/>
        </w:rPr>
        <w:t>Sources</w:t>
      </w:r>
    </w:p>
    <w:p w:rsidR="00454275" w:rsidRDefault="00454275" w:rsidP="00454275">
      <w:pPr>
        <w:ind w:left="720"/>
        <w:jc w:val="left"/>
        <w:rPr>
          <w:sz w:val="22"/>
        </w:rPr>
      </w:pPr>
    </w:p>
    <w:p w:rsidR="005F5144" w:rsidRPr="00C228C5" w:rsidRDefault="005F5144" w:rsidP="005F5144">
      <w:pPr>
        <w:numPr>
          <w:ilvl w:val="0"/>
          <w:numId w:val="48"/>
        </w:numPr>
        <w:jc w:val="left"/>
        <w:rPr>
          <w:sz w:val="22"/>
        </w:rPr>
      </w:pPr>
      <w:r w:rsidRPr="00C228C5">
        <w:rPr>
          <w:sz w:val="22"/>
        </w:rPr>
        <w:t>Education and Care Services National Regulations 2011</w:t>
      </w:r>
    </w:p>
    <w:p w:rsidR="005F5144" w:rsidRPr="00C228C5" w:rsidRDefault="005F5144" w:rsidP="005F5144">
      <w:pPr>
        <w:numPr>
          <w:ilvl w:val="0"/>
          <w:numId w:val="48"/>
        </w:numPr>
        <w:jc w:val="left"/>
        <w:rPr>
          <w:sz w:val="22"/>
        </w:rPr>
      </w:pPr>
      <w:r w:rsidRPr="00C228C5">
        <w:rPr>
          <w:sz w:val="22"/>
        </w:rPr>
        <w:t>Guide to the National Quality Standard 2011</w:t>
      </w:r>
      <w:r w:rsidR="00EA0348">
        <w:rPr>
          <w:sz w:val="22"/>
        </w:rPr>
        <w:t>h</w:t>
      </w:r>
      <w:r w:rsidR="00B93545">
        <w:rPr>
          <w:sz w:val="22"/>
        </w:rPr>
        <w:t>nh</w:t>
      </w:r>
    </w:p>
    <w:p w:rsidR="00A95329" w:rsidRPr="00AC5372" w:rsidRDefault="00A95329" w:rsidP="00A95329">
      <w:pPr>
        <w:numPr>
          <w:ilvl w:val="0"/>
          <w:numId w:val="48"/>
        </w:numPr>
        <w:jc w:val="left"/>
        <w:rPr>
          <w:sz w:val="22"/>
        </w:rPr>
      </w:pPr>
      <w:r w:rsidRPr="00AC5372">
        <w:rPr>
          <w:sz w:val="22"/>
        </w:rPr>
        <w:t xml:space="preserve">Queensland Health. </w:t>
      </w:r>
      <w:r w:rsidRPr="008B2A13">
        <w:rPr>
          <w:i/>
          <w:sz w:val="22"/>
        </w:rPr>
        <w:t>Happy Teeth Resource Kit.</w:t>
      </w:r>
      <w:r w:rsidRPr="00AC5372">
        <w:rPr>
          <w:sz w:val="22"/>
        </w:rPr>
        <w:t xml:space="preserve">   </w:t>
      </w:r>
      <w:hyperlink r:id="rId8" w:history="1">
        <w:r w:rsidRPr="00AC5372">
          <w:rPr>
            <w:rStyle w:val="Hyperlink"/>
            <w:color w:val="auto"/>
            <w:sz w:val="22"/>
          </w:rPr>
          <w:t>http://www.health.qld.gov.au/oralhealth/promo_programs/happy_teeth.asp</w:t>
        </w:r>
      </w:hyperlink>
      <w:r w:rsidRPr="00AC5372">
        <w:rPr>
          <w:sz w:val="22"/>
        </w:rPr>
        <w:t xml:space="preserve"> accessed</w:t>
      </w:r>
      <w:r w:rsidR="00AC5372" w:rsidRPr="00AC5372">
        <w:rPr>
          <w:sz w:val="22"/>
        </w:rPr>
        <w:t xml:space="preserve"> 24 December </w:t>
      </w:r>
      <w:r w:rsidR="00ED1564" w:rsidRPr="00AC5372">
        <w:rPr>
          <w:sz w:val="22"/>
        </w:rPr>
        <w:t>201</w:t>
      </w:r>
      <w:r w:rsidR="00AC5372" w:rsidRPr="00AC5372">
        <w:rPr>
          <w:sz w:val="22"/>
        </w:rPr>
        <w:t>7</w:t>
      </w:r>
    </w:p>
    <w:p w:rsidR="00A95329" w:rsidRPr="00C228C5" w:rsidRDefault="00A95329" w:rsidP="00A95329">
      <w:pPr>
        <w:jc w:val="both"/>
        <w:rPr>
          <w:b/>
          <w:sz w:val="22"/>
        </w:rPr>
      </w:pPr>
    </w:p>
    <w:p w:rsidR="001B0FBC" w:rsidRPr="008B2A13" w:rsidRDefault="001B0FBC" w:rsidP="001B0FBC">
      <w:pPr>
        <w:pBdr>
          <w:bottom w:val="single" w:sz="4" w:space="1" w:color="auto"/>
        </w:pBdr>
        <w:jc w:val="both"/>
        <w:rPr>
          <w:b/>
          <w:sz w:val="22"/>
        </w:rPr>
      </w:pPr>
      <w:r>
        <w:rPr>
          <w:b/>
          <w:sz w:val="22"/>
        </w:rPr>
        <w:t>Fur</w:t>
      </w:r>
      <w:r w:rsidRPr="008B2A13">
        <w:rPr>
          <w:b/>
          <w:sz w:val="22"/>
        </w:rPr>
        <w:t>ther reading and useful websites</w:t>
      </w:r>
    </w:p>
    <w:p w:rsidR="00454275" w:rsidRPr="008B2A13" w:rsidRDefault="00454275" w:rsidP="00454275">
      <w:pPr>
        <w:ind w:left="720"/>
        <w:jc w:val="both"/>
        <w:rPr>
          <w:sz w:val="22"/>
        </w:rPr>
      </w:pPr>
    </w:p>
    <w:p w:rsidR="00C228C5" w:rsidRPr="008B2A13" w:rsidRDefault="00C228C5" w:rsidP="00C228C5">
      <w:pPr>
        <w:numPr>
          <w:ilvl w:val="0"/>
          <w:numId w:val="44"/>
        </w:numPr>
        <w:jc w:val="both"/>
        <w:rPr>
          <w:sz w:val="22"/>
        </w:rPr>
      </w:pPr>
      <w:r w:rsidRPr="008B2A13">
        <w:rPr>
          <w:sz w:val="22"/>
        </w:rPr>
        <w:t xml:space="preserve">Centre for Community Child Health – </w:t>
      </w:r>
      <w:hyperlink r:id="rId9" w:history="1">
        <w:r w:rsidRPr="008B2A13">
          <w:rPr>
            <w:rStyle w:val="Hyperlink"/>
            <w:color w:val="auto"/>
            <w:sz w:val="22"/>
          </w:rPr>
          <w:t xml:space="preserve">http://www.rch.org.au/ccch/ </w:t>
        </w:r>
      </w:hyperlink>
      <w:r w:rsidRPr="008B2A13">
        <w:rPr>
          <w:sz w:val="22"/>
        </w:rPr>
        <w:t xml:space="preserve"> </w:t>
      </w:r>
      <w:r w:rsidR="00ED1564" w:rsidRPr="008B2A13">
        <w:rPr>
          <w:sz w:val="22"/>
        </w:rPr>
        <w:t>accessed</w:t>
      </w:r>
      <w:r w:rsidR="008B2A13" w:rsidRPr="008B2A13">
        <w:rPr>
          <w:sz w:val="22"/>
        </w:rPr>
        <w:t xml:space="preserve"> </w:t>
      </w:r>
      <w:r w:rsidR="000F6FB5" w:rsidRPr="008B2A13">
        <w:rPr>
          <w:sz w:val="22"/>
        </w:rPr>
        <w:t>24 December</w:t>
      </w:r>
      <w:r w:rsidR="008B2A13" w:rsidRPr="008B2A13">
        <w:rPr>
          <w:sz w:val="22"/>
        </w:rPr>
        <w:t xml:space="preserve"> </w:t>
      </w:r>
      <w:r w:rsidR="00ED1564" w:rsidRPr="008B2A13">
        <w:rPr>
          <w:sz w:val="22"/>
        </w:rPr>
        <w:t>201</w:t>
      </w:r>
      <w:r w:rsidR="008B2A13" w:rsidRPr="008B2A13">
        <w:rPr>
          <w:sz w:val="22"/>
        </w:rPr>
        <w:t>7</w:t>
      </w:r>
    </w:p>
    <w:p w:rsidR="00FD0153" w:rsidRPr="008B2A13" w:rsidRDefault="00FD0153" w:rsidP="00FD0153">
      <w:pPr>
        <w:numPr>
          <w:ilvl w:val="0"/>
          <w:numId w:val="44"/>
        </w:numPr>
        <w:jc w:val="left"/>
        <w:rPr>
          <w:sz w:val="22"/>
        </w:rPr>
      </w:pPr>
      <w:r w:rsidRPr="008B2A13">
        <w:rPr>
          <w:sz w:val="22"/>
        </w:rPr>
        <w:t>Queensland Health. (2016).</w:t>
      </w:r>
      <w:r w:rsidRPr="008B2A13">
        <w:rPr>
          <w:i/>
          <w:sz w:val="22"/>
        </w:rPr>
        <w:t xml:space="preserve"> Prevention and Promotion Programs and Resources. </w:t>
      </w:r>
      <w:hyperlink r:id="rId10" w:history="1">
        <w:r w:rsidRPr="008B2A13">
          <w:rPr>
            <w:rStyle w:val="Hyperlink"/>
            <w:sz w:val="22"/>
          </w:rPr>
          <w:t>http://health.qld.gov.au/oralhealth/promo_programs/</w:t>
        </w:r>
      </w:hyperlink>
      <w:r w:rsidRPr="008B2A13">
        <w:rPr>
          <w:sz w:val="22"/>
        </w:rPr>
        <w:t xml:space="preserve"> accessed </w:t>
      </w:r>
      <w:r w:rsidR="008B2A13" w:rsidRPr="008B2A13">
        <w:rPr>
          <w:sz w:val="22"/>
        </w:rPr>
        <w:t>24 December 2017</w:t>
      </w:r>
    </w:p>
    <w:p w:rsidR="00C228C5" w:rsidRPr="008B2A13" w:rsidRDefault="00C228C5" w:rsidP="00FD0153">
      <w:pPr>
        <w:numPr>
          <w:ilvl w:val="0"/>
          <w:numId w:val="44"/>
        </w:numPr>
        <w:jc w:val="both"/>
        <w:rPr>
          <w:sz w:val="22"/>
        </w:rPr>
      </w:pPr>
      <w:r w:rsidRPr="008B2A13">
        <w:rPr>
          <w:sz w:val="22"/>
        </w:rPr>
        <w:t xml:space="preserve">Queensland Health – </w:t>
      </w:r>
      <w:hyperlink r:id="rId11" w:history="1">
        <w:r w:rsidRPr="008B2A13">
          <w:rPr>
            <w:rStyle w:val="Hyperlink"/>
            <w:color w:val="auto"/>
            <w:sz w:val="22"/>
          </w:rPr>
          <w:t>http://www.health.qld.gov.au</w:t>
        </w:r>
      </w:hyperlink>
      <w:r w:rsidR="00ED1564" w:rsidRPr="008B2A13">
        <w:rPr>
          <w:rStyle w:val="Hyperlink"/>
          <w:color w:val="auto"/>
          <w:sz w:val="22"/>
          <w:u w:val="none"/>
        </w:rPr>
        <w:t xml:space="preserve"> accessed </w:t>
      </w:r>
      <w:r w:rsidR="008B2A13" w:rsidRPr="008B2A13">
        <w:rPr>
          <w:rStyle w:val="Hyperlink"/>
          <w:color w:val="auto"/>
          <w:sz w:val="22"/>
          <w:u w:val="none"/>
        </w:rPr>
        <w:t xml:space="preserve">24 December </w:t>
      </w:r>
      <w:r w:rsidR="00ED1564" w:rsidRPr="008B2A13">
        <w:rPr>
          <w:rStyle w:val="Hyperlink"/>
          <w:color w:val="auto"/>
          <w:sz w:val="22"/>
          <w:u w:val="none"/>
        </w:rPr>
        <w:t>201</w:t>
      </w:r>
      <w:r w:rsidR="008B2A13" w:rsidRPr="008B2A13">
        <w:rPr>
          <w:rStyle w:val="Hyperlink"/>
          <w:color w:val="auto"/>
          <w:sz w:val="22"/>
          <w:u w:val="none"/>
        </w:rPr>
        <w:t>7</w:t>
      </w:r>
    </w:p>
    <w:p w:rsidR="00A95329" w:rsidRPr="008B2A13" w:rsidRDefault="00A95329" w:rsidP="00A95329">
      <w:pPr>
        <w:numPr>
          <w:ilvl w:val="0"/>
          <w:numId w:val="44"/>
        </w:numPr>
        <w:jc w:val="both"/>
        <w:rPr>
          <w:sz w:val="22"/>
        </w:rPr>
      </w:pPr>
      <w:r w:rsidRPr="008B2A13">
        <w:rPr>
          <w:sz w:val="22"/>
        </w:rPr>
        <w:t xml:space="preserve">The Royal Children’s Hospital Melbourne. </w:t>
      </w:r>
      <w:r w:rsidRPr="008B2A13">
        <w:rPr>
          <w:i/>
          <w:sz w:val="22"/>
        </w:rPr>
        <w:t>Childcare and children’s health: An information sheet for parents (Oral Health)</w:t>
      </w:r>
      <w:r w:rsidRPr="008B2A13">
        <w:rPr>
          <w:sz w:val="22"/>
        </w:rPr>
        <w:t xml:space="preserve"> Vol 14 No 2 June 2011  </w:t>
      </w:r>
    </w:p>
    <w:p w:rsidR="00A95329" w:rsidRPr="00C228C5" w:rsidRDefault="004B29EE" w:rsidP="00C228C5">
      <w:pPr>
        <w:ind w:left="720"/>
        <w:jc w:val="left"/>
        <w:rPr>
          <w:sz w:val="22"/>
        </w:rPr>
      </w:pPr>
      <w:hyperlink r:id="rId12" w:history="1">
        <w:r w:rsidR="00CC463B" w:rsidRPr="008B2A13">
          <w:rPr>
            <w:rStyle w:val="Hyperlink"/>
            <w:color w:val="auto"/>
            <w:sz w:val="22"/>
          </w:rPr>
          <w:t>http://www.rch.org.au/emplibrary/ccch/CCH_Fact_Sheet_-_Oral_health.</w:t>
        </w:r>
        <w:r w:rsidR="00CC463B" w:rsidRPr="008B2A13">
          <w:rPr>
            <w:rStyle w:val="Hyperlink"/>
            <w:color w:val="auto"/>
            <w:sz w:val="22"/>
            <w:u w:val="none"/>
          </w:rPr>
          <w:t>pdf</w:t>
        </w:r>
      </w:hyperlink>
      <w:r w:rsidR="00C228C5" w:rsidRPr="008B2A13">
        <w:rPr>
          <w:sz w:val="22"/>
        </w:rPr>
        <w:t xml:space="preserve"> </w:t>
      </w:r>
      <w:r w:rsidR="00CC463B" w:rsidRPr="008B2A13">
        <w:rPr>
          <w:sz w:val="22"/>
        </w:rPr>
        <w:t>accessed</w:t>
      </w:r>
      <w:r w:rsidR="00ED1564" w:rsidRPr="008B2A13">
        <w:rPr>
          <w:sz w:val="22"/>
        </w:rPr>
        <w:t xml:space="preserve"> </w:t>
      </w:r>
      <w:r w:rsidR="008B2A13" w:rsidRPr="008B2A13">
        <w:rPr>
          <w:sz w:val="22"/>
        </w:rPr>
        <w:t xml:space="preserve">24 December </w:t>
      </w:r>
      <w:r w:rsidR="00ED1564" w:rsidRPr="008B2A13">
        <w:rPr>
          <w:sz w:val="22"/>
        </w:rPr>
        <w:t>201</w:t>
      </w:r>
      <w:r w:rsidR="008B2A13" w:rsidRPr="008B2A13">
        <w:rPr>
          <w:sz w:val="22"/>
        </w:rPr>
        <w:t>7</w:t>
      </w:r>
    </w:p>
    <w:p w:rsidR="00A95329" w:rsidRDefault="00A95329" w:rsidP="00A95329">
      <w:pPr>
        <w:jc w:val="both"/>
        <w:rPr>
          <w:color w:val="FF0000"/>
          <w:sz w:val="22"/>
        </w:rPr>
      </w:pPr>
    </w:p>
    <w:p w:rsidR="00A95329" w:rsidRPr="00073D25" w:rsidRDefault="00A95329" w:rsidP="00A95329">
      <w:pPr>
        <w:pBdr>
          <w:bottom w:val="single" w:sz="4" w:space="1" w:color="auto"/>
        </w:pBdr>
        <w:jc w:val="both"/>
        <w:rPr>
          <w:b/>
          <w:sz w:val="22"/>
        </w:rPr>
      </w:pPr>
      <w:r w:rsidRPr="00073D25">
        <w:rPr>
          <w:b/>
          <w:sz w:val="22"/>
        </w:rPr>
        <w:t>Policy review</w:t>
      </w:r>
    </w:p>
    <w:p w:rsidR="00A95329" w:rsidRPr="00073D25" w:rsidRDefault="00A95329" w:rsidP="00A95329">
      <w:pPr>
        <w:jc w:val="both"/>
        <w:rPr>
          <w:sz w:val="22"/>
        </w:rPr>
      </w:pPr>
    </w:p>
    <w:p w:rsidR="00A95329" w:rsidRPr="00F06DB1" w:rsidRDefault="00A95329" w:rsidP="00A95329">
      <w:pPr>
        <w:jc w:val="both"/>
        <w:rPr>
          <w:sz w:val="22"/>
        </w:rPr>
      </w:pPr>
      <w:r w:rsidRPr="00F06DB1">
        <w:rPr>
          <w:sz w:val="22"/>
        </w:rPr>
        <w:t xml:space="preserve">The </w:t>
      </w:r>
      <w:r w:rsidR="00CC463B">
        <w:rPr>
          <w:sz w:val="22"/>
        </w:rPr>
        <w:t>Service</w:t>
      </w:r>
      <w:r w:rsidRPr="00F06DB1">
        <w:rPr>
          <w:sz w:val="22"/>
        </w:rPr>
        <w:t xml:space="preserve"> encourages staff and parents to be actively involved in the annual review of each of its policies and procedures. In addition, the </w:t>
      </w:r>
      <w:r w:rsidR="00CC463B">
        <w:rPr>
          <w:sz w:val="22"/>
        </w:rPr>
        <w:t>Service</w:t>
      </w:r>
      <w:r w:rsidRPr="00F06DB1">
        <w:rPr>
          <w:sz w:val="22"/>
        </w:rPr>
        <w:t xml:space="preserve"> will accommodate any new legislative changes as they occur and any issues identified as part the </w:t>
      </w:r>
      <w:r w:rsidR="00CC463B">
        <w:rPr>
          <w:sz w:val="22"/>
        </w:rPr>
        <w:t>Service</w:t>
      </w:r>
      <w:r w:rsidRPr="00F06DB1">
        <w:rPr>
          <w:sz w:val="22"/>
        </w:rPr>
        <w:t xml:space="preserve">’s commitment to quality improvement. The </w:t>
      </w:r>
      <w:r w:rsidR="00CC463B">
        <w:rPr>
          <w:sz w:val="22"/>
        </w:rPr>
        <w:t>Service</w:t>
      </w:r>
      <w:r w:rsidRPr="00F06DB1">
        <w:rPr>
          <w:sz w:val="22"/>
        </w:rPr>
        <w:t xml:space="preserve"> consults with relevant recognised authorities as part of the annual review to ensure the policy contents are consistent with current research and contemporary views on best practice. </w:t>
      </w:r>
    </w:p>
    <w:p w:rsidR="00A95329" w:rsidRPr="00073D25" w:rsidRDefault="00A95329" w:rsidP="00A95329">
      <w:pPr>
        <w:jc w:val="both"/>
        <w:rPr>
          <w:b/>
          <w:sz w:val="22"/>
        </w:rPr>
      </w:pPr>
    </w:p>
    <w:bookmarkEnd w:id="0"/>
    <w:p w:rsidR="0064416B" w:rsidRDefault="0064416B" w:rsidP="0064416B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>Version Control</w:t>
      </w:r>
    </w:p>
    <w:p w:rsidR="0064416B" w:rsidRDefault="0064416B" w:rsidP="0064416B">
      <w:pPr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658"/>
        <w:gridCol w:w="2228"/>
        <w:gridCol w:w="2756"/>
        <w:gridCol w:w="1775"/>
      </w:tblGrid>
      <w:tr w:rsidR="00894A77" w:rsidTr="00894A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A77" w:rsidRDefault="00894A7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A77" w:rsidRDefault="00894A7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Reviewed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A77" w:rsidRDefault="00894A7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 By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A77" w:rsidRDefault="00894A7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Comments/Amendments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A77" w:rsidRDefault="00894A7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Review Date</w:t>
            </w:r>
          </w:p>
        </w:tc>
      </w:tr>
      <w:tr w:rsidR="00894A77" w:rsidTr="00894A7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7" w:rsidRDefault="00894A7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7" w:rsidRDefault="00894A7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January 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7" w:rsidRDefault="00894A7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Brenda Abbey (Author)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7" w:rsidRDefault="00894A7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to changed NQF requirements 1 February 2018. </w:t>
            </w:r>
          </w:p>
          <w:p w:rsidR="00894A77" w:rsidRDefault="00894A7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to modify policies to its specific needs.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77" w:rsidRDefault="00894A77">
            <w:pPr>
              <w:jc w:val="left"/>
              <w:rPr>
                <w:sz w:val="18"/>
                <w:szCs w:val="18"/>
              </w:rPr>
            </w:pPr>
          </w:p>
        </w:tc>
      </w:tr>
    </w:tbl>
    <w:p w:rsidR="00A95329" w:rsidRPr="00073D25" w:rsidRDefault="00A95329" w:rsidP="00A95329">
      <w:pPr>
        <w:jc w:val="both"/>
        <w:rPr>
          <w:sz w:val="22"/>
        </w:rPr>
      </w:pPr>
    </w:p>
    <w:p w:rsidR="00A95329" w:rsidRPr="00073D25" w:rsidRDefault="00A95329" w:rsidP="00A95329">
      <w:pPr>
        <w:jc w:val="both"/>
        <w:rPr>
          <w:sz w:val="22"/>
        </w:rPr>
      </w:pPr>
    </w:p>
    <w:p w:rsidR="005633F1" w:rsidRPr="00A95329" w:rsidRDefault="005633F1" w:rsidP="00A95329"/>
    <w:sectPr w:rsidR="005633F1" w:rsidRPr="00A95329" w:rsidSect="00FD6401">
      <w:headerReference w:type="default" r:id="rId13"/>
      <w:footerReference w:type="default" r:id="rId14"/>
      <w:pgSz w:w="11906" w:h="16838"/>
      <w:pgMar w:top="1701" w:right="1416" w:bottom="1134" w:left="1276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EE" w:rsidRDefault="004B29EE" w:rsidP="00FC7AF1">
      <w:r>
        <w:separator/>
      </w:r>
    </w:p>
  </w:endnote>
  <w:endnote w:type="continuationSeparator" w:id="0">
    <w:p w:rsidR="004B29EE" w:rsidRDefault="004B29EE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Default="00C61326" w:rsidP="00EA2300">
    <w:pPr>
      <w:pStyle w:val="Footer"/>
      <w:ind w:left="-1276" w:right="282"/>
      <w:jc w:val="left"/>
    </w:pPr>
    <w:r>
      <w:rPr>
        <w:noProof/>
        <w:lang w:val="en-US"/>
      </w:rPr>
      <w:ptab w:relativeTo="margin" w:alignment="left" w:leader="none"/>
    </w:r>
  </w:p>
  <w:tbl>
    <w:tblPr>
      <w:tblStyle w:val="TableGrid"/>
      <w:tblW w:w="1101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7089"/>
      <w:gridCol w:w="3923"/>
    </w:tblGrid>
    <w:tr w:rsidR="009E5113" w:rsidTr="002B6E45">
      <w:trPr>
        <w:trHeight w:val="583"/>
      </w:trPr>
      <w:tc>
        <w:tcPr>
          <w:tcW w:w="7089" w:type="dxa"/>
          <w:shd w:val="clear" w:color="auto" w:fill="808080" w:themeFill="background1" w:themeFillShade="80"/>
        </w:tcPr>
        <w:p w:rsidR="009E5113" w:rsidRDefault="009E5113" w:rsidP="002B6E45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Copyright © Dr Brenda Abbey (Childcar</w:t>
          </w:r>
          <w:r w:rsidR="00F412B8">
            <w:rPr>
              <w:noProof/>
              <w:color w:val="FFFFFF" w:themeColor="background1"/>
              <w:sz w:val="18"/>
              <w:szCs w:val="18"/>
              <w:lang w:val="en-US"/>
            </w:rPr>
            <w:t>e by Design</w:t>
          </w:r>
          <w:r w:rsidR="00A72AEE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 Pty Ltd</w:t>
          </w:r>
          <w:r w:rsidR="00F412B8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) 2012. </w:t>
          </w:r>
          <w:r w:rsidR="00A55EBF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Updated 2018. </w:t>
          </w:r>
        </w:p>
        <w:p w:rsidR="009E5113" w:rsidRPr="005F4CC1" w:rsidRDefault="009E5113" w:rsidP="002B6E45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May be reproduced and adapted with permission but the author must be acknowledged.</w:t>
          </w:r>
        </w:p>
      </w:tc>
      <w:tc>
        <w:tcPr>
          <w:tcW w:w="3923" w:type="dxa"/>
          <w:shd w:val="clear" w:color="auto" w:fill="808080" w:themeFill="background1" w:themeFillShade="80"/>
        </w:tcPr>
        <w:p w:rsidR="009E5113" w:rsidRPr="00B03206" w:rsidRDefault="009E5113" w:rsidP="009E5113">
          <w:pPr>
            <w:pStyle w:val="Footer"/>
            <w:ind w:right="282"/>
            <w:jc w:val="right"/>
            <w:rPr>
              <w:noProof/>
              <w:sz w:val="20"/>
              <w:szCs w:val="20"/>
              <w:lang w:val="en-US"/>
            </w:rPr>
          </w:pPr>
          <w:r>
            <w:rPr>
              <w:color w:val="FFFFFF" w:themeColor="background1"/>
              <w:sz w:val="20"/>
              <w:szCs w:val="20"/>
            </w:rPr>
            <w:t xml:space="preserve">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2</w:t>
          </w:r>
          <w:r w:rsidRPr="00B03206">
            <w:rPr>
              <w:color w:val="FFFFFF" w:themeColor="background1"/>
              <w:szCs w:val="28"/>
            </w:rPr>
            <w:t xml:space="preserve">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4</w:t>
          </w:r>
          <w:r w:rsidRPr="00B03206">
            <w:rPr>
              <w:color w:val="FFFFFF" w:themeColor="background1"/>
              <w:sz w:val="20"/>
              <w:szCs w:val="20"/>
            </w:rPr>
            <w:t xml:space="preserve"> QA</w:t>
          </w:r>
          <w:r w:rsidRPr="00B03206">
            <w:rPr>
              <w:color w:val="FFFFFF" w:themeColor="background1"/>
              <w:sz w:val="24"/>
              <w:szCs w:val="24"/>
            </w:rPr>
            <w:t>5</w:t>
          </w:r>
          <w:r w:rsidRPr="00B03206">
            <w:rPr>
              <w:color w:val="FFFFFF" w:themeColor="background1"/>
              <w:sz w:val="20"/>
              <w:szCs w:val="20"/>
            </w:rPr>
            <w:t xml:space="preserve"> QA</w:t>
          </w:r>
          <w:r>
            <w:rPr>
              <w:color w:val="FFFFFF" w:themeColor="background1"/>
              <w:sz w:val="24"/>
              <w:szCs w:val="24"/>
            </w:rPr>
            <w:t>6</w:t>
          </w:r>
          <w:r w:rsidRPr="00B03206">
            <w:rPr>
              <w:color w:val="FFFFFF" w:themeColor="background1"/>
              <w:sz w:val="24"/>
              <w:szCs w:val="24"/>
            </w:rPr>
            <w:t xml:space="preserve">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7</w:t>
          </w:r>
        </w:p>
      </w:tc>
    </w:tr>
  </w:tbl>
  <w:p w:rsidR="00FC7AF1" w:rsidRDefault="00FC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EE" w:rsidRDefault="004B29EE" w:rsidP="00FC7AF1">
      <w:r>
        <w:separator/>
      </w:r>
    </w:p>
  </w:footnote>
  <w:footnote w:type="continuationSeparator" w:id="0">
    <w:p w:rsidR="004B29EE" w:rsidRDefault="004B29EE" w:rsidP="00FC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Default="003B7B22" w:rsidP="006C3A67">
    <w:pPr>
      <w:pStyle w:val="Header"/>
      <w:ind w:left="-1276" w:right="-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4D46B" wp14:editId="18E5F912">
              <wp:simplePos x="0" y="0"/>
              <wp:positionH relativeFrom="column">
                <wp:posOffset>-695960</wp:posOffset>
              </wp:positionH>
              <wp:positionV relativeFrom="paragraph">
                <wp:posOffset>337820</wp:posOffset>
              </wp:positionV>
              <wp:extent cx="7317740" cy="656590"/>
              <wp:effectExtent l="0" t="0" r="16510" b="101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40" cy="656590"/>
                        <a:chOff x="0" y="0"/>
                        <a:chExt cx="7374890" cy="600074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737489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B7B22" w:rsidRDefault="003B7B22" w:rsidP="003B7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219075" y="171449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3B7B22" w:rsidRPr="002360B0" w:rsidRDefault="003B7B22" w:rsidP="003B7B22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DD4D46B" id="Group 3" o:spid="_x0000_s1026" style="position:absolute;left:0;text-align:left;margin-left:-54.8pt;margin-top:26.6pt;width:576.2pt;height:51.7pt;z-index:251659264;mso-width-relative:margin;mso-height-relative:margin" coordsize="7374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width:7374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" fillcolor="#7f7f7f" strokecolor="#a6a6a6" strokeweight=".5pt">
                <v:textbox>
                  <w:txbxContent>
                    <w:p w:rsidR="003B7B22" w:rsidRDefault="003B7B22" w:rsidP="003B7B22"/>
                  </w:txbxContent>
                </v:textbox>
              </v:shape>
              <v:shape id="Text Box 5" o:spid="_x0000_s1028" type="#_x0000_t202" style="position:absolute;left:2190;top:1714;width:3810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" fillcolor="#92d050" strokecolor="#92d050" strokeweight=".5pt">
                <v:textbox>
                  <w:txbxContent>
                    <w:p w:rsidR="003B7B22" w:rsidRPr="002360B0" w:rsidRDefault="003B7B22" w:rsidP="003B7B22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Dental Health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2DB"/>
    <w:multiLevelType w:val="hybridMultilevel"/>
    <w:tmpl w:val="B504C82C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6341"/>
    <w:multiLevelType w:val="hybridMultilevel"/>
    <w:tmpl w:val="F1CA52D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5B6"/>
    <w:multiLevelType w:val="hybridMultilevel"/>
    <w:tmpl w:val="9E7C9FD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2FF9"/>
    <w:multiLevelType w:val="hybridMultilevel"/>
    <w:tmpl w:val="32E61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6A8"/>
    <w:multiLevelType w:val="hybridMultilevel"/>
    <w:tmpl w:val="6144023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7DE2"/>
    <w:multiLevelType w:val="hybridMultilevel"/>
    <w:tmpl w:val="45C4C4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67026F"/>
    <w:multiLevelType w:val="hybridMultilevel"/>
    <w:tmpl w:val="2ED4090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7B89"/>
    <w:multiLevelType w:val="hybridMultilevel"/>
    <w:tmpl w:val="96B2AD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010F"/>
    <w:multiLevelType w:val="hybridMultilevel"/>
    <w:tmpl w:val="0632EC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A7C38"/>
    <w:multiLevelType w:val="hybridMultilevel"/>
    <w:tmpl w:val="D8A4B4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61D"/>
    <w:multiLevelType w:val="hybridMultilevel"/>
    <w:tmpl w:val="545E2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4876"/>
    <w:multiLevelType w:val="hybridMultilevel"/>
    <w:tmpl w:val="AB50B6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05563F"/>
    <w:multiLevelType w:val="hybridMultilevel"/>
    <w:tmpl w:val="D39C8D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255240"/>
    <w:multiLevelType w:val="hybridMultilevel"/>
    <w:tmpl w:val="F6F6F9B6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CC2FE9"/>
    <w:multiLevelType w:val="hybridMultilevel"/>
    <w:tmpl w:val="9EAA616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563"/>
    <w:multiLevelType w:val="hybridMultilevel"/>
    <w:tmpl w:val="9A621D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D5D14FB"/>
    <w:multiLevelType w:val="hybridMultilevel"/>
    <w:tmpl w:val="191CADB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43835"/>
    <w:multiLevelType w:val="hybridMultilevel"/>
    <w:tmpl w:val="334C7C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B73364"/>
    <w:multiLevelType w:val="hybridMultilevel"/>
    <w:tmpl w:val="64A22F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2BE5D0A"/>
    <w:multiLevelType w:val="hybridMultilevel"/>
    <w:tmpl w:val="1EA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3037"/>
    <w:multiLevelType w:val="hybridMultilevel"/>
    <w:tmpl w:val="D86C5A5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7EB6F22"/>
    <w:multiLevelType w:val="hybridMultilevel"/>
    <w:tmpl w:val="DDCA38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F6769"/>
    <w:multiLevelType w:val="hybridMultilevel"/>
    <w:tmpl w:val="0B46EC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13D2E"/>
    <w:multiLevelType w:val="hybridMultilevel"/>
    <w:tmpl w:val="B316E0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22BD"/>
    <w:multiLevelType w:val="hybridMultilevel"/>
    <w:tmpl w:val="C95C4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ED5"/>
    <w:multiLevelType w:val="hybridMultilevel"/>
    <w:tmpl w:val="15269A10"/>
    <w:lvl w:ilvl="0" w:tplc="0C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A77D26"/>
    <w:multiLevelType w:val="hybridMultilevel"/>
    <w:tmpl w:val="DA2AFACE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277DC"/>
    <w:multiLevelType w:val="hybridMultilevel"/>
    <w:tmpl w:val="E864D3B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6777F"/>
    <w:multiLevelType w:val="hybridMultilevel"/>
    <w:tmpl w:val="1BB0B9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803A1"/>
    <w:multiLevelType w:val="hybridMultilevel"/>
    <w:tmpl w:val="F0B038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3E7100E"/>
    <w:multiLevelType w:val="hybridMultilevel"/>
    <w:tmpl w:val="20A48C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F1DC1"/>
    <w:multiLevelType w:val="hybridMultilevel"/>
    <w:tmpl w:val="ADFAEC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9973F7A"/>
    <w:multiLevelType w:val="hybridMultilevel"/>
    <w:tmpl w:val="DE1442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D490514"/>
    <w:multiLevelType w:val="hybridMultilevel"/>
    <w:tmpl w:val="3496B8B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37022"/>
    <w:multiLevelType w:val="hybridMultilevel"/>
    <w:tmpl w:val="43BABE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B29A1"/>
    <w:multiLevelType w:val="hybridMultilevel"/>
    <w:tmpl w:val="5BC86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31095"/>
    <w:multiLevelType w:val="hybridMultilevel"/>
    <w:tmpl w:val="D34223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1026728"/>
    <w:multiLevelType w:val="hybridMultilevel"/>
    <w:tmpl w:val="85E2A5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55B1E"/>
    <w:multiLevelType w:val="hybridMultilevel"/>
    <w:tmpl w:val="D2A46AA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6B33410"/>
    <w:multiLevelType w:val="hybridMultilevel"/>
    <w:tmpl w:val="E3F82F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034C5"/>
    <w:multiLevelType w:val="hybridMultilevel"/>
    <w:tmpl w:val="D87463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25CD4"/>
    <w:multiLevelType w:val="hybridMultilevel"/>
    <w:tmpl w:val="059814A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796D"/>
    <w:multiLevelType w:val="hybridMultilevel"/>
    <w:tmpl w:val="56265C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3204"/>
    <w:multiLevelType w:val="hybridMultilevel"/>
    <w:tmpl w:val="24320E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6C6"/>
    <w:multiLevelType w:val="hybridMultilevel"/>
    <w:tmpl w:val="1444D13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4D4533"/>
    <w:multiLevelType w:val="hybridMultilevel"/>
    <w:tmpl w:val="F3A0DCCC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 w15:restartNumberingAfterBreak="0">
    <w:nsid w:val="7EC362F6"/>
    <w:multiLevelType w:val="hybridMultilevel"/>
    <w:tmpl w:val="88C6A1F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35F"/>
    <w:multiLevelType w:val="hybridMultilevel"/>
    <w:tmpl w:val="173A56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45"/>
  </w:num>
  <w:num w:numId="5">
    <w:abstractNumId w:val="29"/>
  </w:num>
  <w:num w:numId="6">
    <w:abstractNumId w:val="15"/>
  </w:num>
  <w:num w:numId="7">
    <w:abstractNumId w:val="6"/>
  </w:num>
  <w:num w:numId="8">
    <w:abstractNumId w:val="26"/>
  </w:num>
  <w:num w:numId="9">
    <w:abstractNumId w:val="16"/>
  </w:num>
  <w:num w:numId="10">
    <w:abstractNumId w:val="24"/>
  </w:num>
  <w:num w:numId="11">
    <w:abstractNumId w:val="35"/>
  </w:num>
  <w:num w:numId="12">
    <w:abstractNumId w:val="19"/>
  </w:num>
  <w:num w:numId="13">
    <w:abstractNumId w:val="7"/>
  </w:num>
  <w:num w:numId="14">
    <w:abstractNumId w:val="2"/>
  </w:num>
  <w:num w:numId="15">
    <w:abstractNumId w:val="39"/>
  </w:num>
  <w:num w:numId="16">
    <w:abstractNumId w:val="41"/>
  </w:num>
  <w:num w:numId="17">
    <w:abstractNumId w:val="34"/>
  </w:num>
  <w:num w:numId="18">
    <w:abstractNumId w:val="44"/>
  </w:num>
  <w:num w:numId="19">
    <w:abstractNumId w:val="17"/>
  </w:num>
  <w:num w:numId="20">
    <w:abstractNumId w:val="37"/>
  </w:num>
  <w:num w:numId="21">
    <w:abstractNumId w:val="11"/>
  </w:num>
  <w:num w:numId="22">
    <w:abstractNumId w:val="32"/>
  </w:num>
  <w:num w:numId="23">
    <w:abstractNumId w:val="36"/>
  </w:num>
  <w:num w:numId="24">
    <w:abstractNumId w:val="18"/>
  </w:num>
  <w:num w:numId="25">
    <w:abstractNumId w:val="38"/>
  </w:num>
  <w:num w:numId="26">
    <w:abstractNumId w:val="12"/>
  </w:num>
  <w:num w:numId="27">
    <w:abstractNumId w:val="30"/>
  </w:num>
  <w:num w:numId="28">
    <w:abstractNumId w:val="9"/>
  </w:num>
  <w:num w:numId="29">
    <w:abstractNumId w:val="21"/>
  </w:num>
  <w:num w:numId="30">
    <w:abstractNumId w:val="14"/>
  </w:num>
  <w:num w:numId="31">
    <w:abstractNumId w:val="42"/>
  </w:num>
  <w:num w:numId="32">
    <w:abstractNumId w:val="27"/>
  </w:num>
  <w:num w:numId="33">
    <w:abstractNumId w:val="3"/>
  </w:num>
  <w:num w:numId="34">
    <w:abstractNumId w:val="46"/>
  </w:num>
  <w:num w:numId="35">
    <w:abstractNumId w:val="22"/>
  </w:num>
  <w:num w:numId="36">
    <w:abstractNumId w:val="25"/>
  </w:num>
  <w:num w:numId="37">
    <w:abstractNumId w:val="10"/>
  </w:num>
  <w:num w:numId="38">
    <w:abstractNumId w:val="40"/>
  </w:num>
  <w:num w:numId="39">
    <w:abstractNumId w:val="47"/>
  </w:num>
  <w:num w:numId="40">
    <w:abstractNumId w:val="23"/>
  </w:num>
  <w:num w:numId="41">
    <w:abstractNumId w:val="43"/>
  </w:num>
  <w:num w:numId="42">
    <w:abstractNumId w:val="4"/>
  </w:num>
  <w:num w:numId="43">
    <w:abstractNumId w:val="1"/>
  </w:num>
  <w:num w:numId="44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8"/>
  </w:num>
  <w:num w:numId="47">
    <w:abstractNumId w:val="28"/>
  </w:num>
  <w:num w:numId="48">
    <w:abstractNumId w:val="20"/>
  </w:num>
  <w:num w:numId="49">
    <w:abstractNumId w:val="4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A"/>
    <w:rsid w:val="000261DA"/>
    <w:rsid w:val="000331B6"/>
    <w:rsid w:val="00073D25"/>
    <w:rsid w:val="00081268"/>
    <w:rsid w:val="000909A7"/>
    <w:rsid w:val="000B1049"/>
    <w:rsid w:val="000D059C"/>
    <w:rsid w:val="000D2052"/>
    <w:rsid w:val="000F4D51"/>
    <w:rsid w:val="000F6FB5"/>
    <w:rsid w:val="00195EC6"/>
    <w:rsid w:val="001B04A6"/>
    <w:rsid w:val="001B0FBC"/>
    <w:rsid w:val="001B6C5A"/>
    <w:rsid w:val="001B759C"/>
    <w:rsid w:val="001D0830"/>
    <w:rsid w:val="001F2361"/>
    <w:rsid w:val="002374BF"/>
    <w:rsid w:val="002607E5"/>
    <w:rsid w:val="00267336"/>
    <w:rsid w:val="00282CD2"/>
    <w:rsid w:val="00284A75"/>
    <w:rsid w:val="002940D7"/>
    <w:rsid w:val="002B59FA"/>
    <w:rsid w:val="002E17F1"/>
    <w:rsid w:val="003160A0"/>
    <w:rsid w:val="00332A61"/>
    <w:rsid w:val="00342985"/>
    <w:rsid w:val="003572EA"/>
    <w:rsid w:val="0036374A"/>
    <w:rsid w:val="003A2A0A"/>
    <w:rsid w:val="003B7B22"/>
    <w:rsid w:val="003C6004"/>
    <w:rsid w:val="003C7458"/>
    <w:rsid w:val="003D4830"/>
    <w:rsid w:val="00407C0D"/>
    <w:rsid w:val="0041267B"/>
    <w:rsid w:val="00412BE8"/>
    <w:rsid w:val="00454275"/>
    <w:rsid w:val="00456C27"/>
    <w:rsid w:val="00471B75"/>
    <w:rsid w:val="00472896"/>
    <w:rsid w:val="004803A8"/>
    <w:rsid w:val="004835A3"/>
    <w:rsid w:val="004B29EE"/>
    <w:rsid w:val="004D367E"/>
    <w:rsid w:val="004F3C99"/>
    <w:rsid w:val="005633F1"/>
    <w:rsid w:val="00575355"/>
    <w:rsid w:val="00594D75"/>
    <w:rsid w:val="005A5DA9"/>
    <w:rsid w:val="005D2588"/>
    <w:rsid w:val="005E18A5"/>
    <w:rsid w:val="005F5144"/>
    <w:rsid w:val="00614C25"/>
    <w:rsid w:val="00617642"/>
    <w:rsid w:val="0064416B"/>
    <w:rsid w:val="0067782E"/>
    <w:rsid w:val="00683091"/>
    <w:rsid w:val="006A4D35"/>
    <w:rsid w:val="006B04BE"/>
    <w:rsid w:val="006C3A67"/>
    <w:rsid w:val="006C56F9"/>
    <w:rsid w:val="006F0A7F"/>
    <w:rsid w:val="00721744"/>
    <w:rsid w:val="0072401F"/>
    <w:rsid w:val="00762239"/>
    <w:rsid w:val="00795579"/>
    <w:rsid w:val="007A5A6E"/>
    <w:rsid w:val="007D2013"/>
    <w:rsid w:val="007F17C7"/>
    <w:rsid w:val="0084115A"/>
    <w:rsid w:val="00854C5F"/>
    <w:rsid w:val="0087193D"/>
    <w:rsid w:val="00891E45"/>
    <w:rsid w:val="00894A77"/>
    <w:rsid w:val="008B2A13"/>
    <w:rsid w:val="008B56CB"/>
    <w:rsid w:val="008B73AB"/>
    <w:rsid w:val="008D16DF"/>
    <w:rsid w:val="008D1979"/>
    <w:rsid w:val="008D21C7"/>
    <w:rsid w:val="00913520"/>
    <w:rsid w:val="009235A1"/>
    <w:rsid w:val="009323D3"/>
    <w:rsid w:val="00951A24"/>
    <w:rsid w:val="009524DC"/>
    <w:rsid w:val="00980AAD"/>
    <w:rsid w:val="00993F29"/>
    <w:rsid w:val="009965FB"/>
    <w:rsid w:val="00997F5E"/>
    <w:rsid w:val="009A204A"/>
    <w:rsid w:val="009E5113"/>
    <w:rsid w:val="009E74EF"/>
    <w:rsid w:val="009F0999"/>
    <w:rsid w:val="009F70D2"/>
    <w:rsid w:val="00A07A17"/>
    <w:rsid w:val="00A07EB2"/>
    <w:rsid w:val="00A1700E"/>
    <w:rsid w:val="00A524AA"/>
    <w:rsid w:val="00A55EBF"/>
    <w:rsid w:val="00A621D4"/>
    <w:rsid w:val="00A72AEE"/>
    <w:rsid w:val="00A95329"/>
    <w:rsid w:val="00AA5227"/>
    <w:rsid w:val="00AA7204"/>
    <w:rsid w:val="00AA7B49"/>
    <w:rsid w:val="00AB1006"/>
    <w:rsid w:val="00AB6C78"/>
    <w:rsid w:val="00AC5372"/>
    <w:rsid w:val="00AD38B1"/>
    <w:rsid w:val="00B06C00"/>
    <w:rsid w:val="00B228CA"/>
    <w:rsid w:val="00B41425"/>
    <w:rsid w:val="00B43F45"/>
    <w:rsid w:val="00B46193"/>
    <w:rsid w:val="00B56E16"/>
    <w:rsid w:val="00B72B80"/>
    <w:rsid w:val="00B93545"/>
    <w:rsid w:val="00B95E8C"/>
    <w:rsid w:val="00BD47AB"/>
    <w:rsid w:val="00BE3192"/>
    <w:rsid w:val="00C03208"/>
    <w:rsid w:val="00C13775"/>
    <w:rsid w:val="00C228C5"/>
    <w:rsid w:val="00C30719"/>
    <w:rsid w:val="00C449C0"/>
    <w:rsid w:val="00C451DE"/>
    <w:rsid w:val="00C52C53"/>
    <w:rsid w:val="00C55B16"/>
    <w:rsid w:val="00C61326"/>
    <w:rsid w:val="00C669E5"/>
    <w:rsid w:val="00C76CB4"/>
    <w:rsid w:val="00C9794B"/>
    <w:rsid w:val="00CB6033"/>
    <w:rsid w:val="00CC463B"/>
    <w:rsid w:val="00CC6860"/>
    <w:rsid w:val="00CD1F72"/>
    <w:rsid w:val="00CE573B"/>
    <w:rsid w:val="00D03521"/>
    <w:rsid w:val="00D22A28"/>
    <w:rsid w:val="00D26E8B"/>
    <w:rsid w:val="00D30E65"/>
    <w:rsid w:val="00D32A99"/>
    <w:rsid w:val="00D72B1C"/>
    <w:rsid w:val="00D93BB1"/>
    <w:rsid w:val="00DD00A0"/>
    <w:rsid w:val="00DE5140"/>
    <w:rsid w:val="00DE524D"/>
    <w:rsid w:val="00E0686B"/>
    <w:rsid w:val="00E6676D"/>
    <w:rsid w:val="00E97120"/>
    <w:rsid w:val="00EA0348"/>
    <w:rsid w:val="00EA2300"/>
    <w:rsid w:val="00EA3698"/>
    <w:rsid w:val="00EB1144"/>
    <w:rsid w:val="00EB6F7D"/>
    <w:rsid w:val="00ED1564"/>
    <w:rsid w:val="00EE005C"/>
    <w:rsid w:val="00F04075"/>
    <w:rsid w:val="00F06DB1"/>
    <w:rsid w:val="00F13255"/>
    <w:rsid w:val="00F322F8"/>
    <w:rsid w:val="00F3371A"/>
    <w:rsid w:val="00F412B8"/>
    <w:rsid w:val="00F50E15"/>
    <w:rsid w:val="00F51999"/>
    <w:rsid w:val="00F53045"/>
    <w:rsid w:val="00F80C23"/>
    <w:rsid w:val="00F910E4"/>
    <w:rsid w:val="00F975E8"/>
    <w:rsid w:val="00FA0F94"/>
    <w:rsid w:val="00FB5AB6"/>
    <w:rsid w:val="00FB63A4"/>
    <w:rsid w:val="00FC7AF1"/>
    <w:rsid w:val="00FD0153"/>
    <w:rsid w:val="00FD4DCD"/>
    <w:rsid w:val="00FD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4A92C96-FA18-421E-B827-F0EBD2D7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8B"/>
    <w:pPr>
      <w:jc w:val="center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374A"/>
    <w:pPr>
      <w:jc w:val="lef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374A"/>
    <w:rPr>
      <w:rFonts w:ascii="Times New Roman" w:hAnsi="Times New Roman"/>
      <w:b/>
      <w:i/>
      <w:sz w:val="24"/>
    </w:rPr>
  </w:style>
  <w:style w:type="table" w:styleId="TableGrid">
    <w:name w:val="Table Grid"/>
    <w:basedOn w:val="TableNormal"/>
    <w:uiPriority w:val="99"/>
    <w:rsid w:val="0036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0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C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AF1"/>
    <w:rPr>
      <w:rFonts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F1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C6132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3A67"/>
    <w:rPr>
      <w:color w:val="0000FF"/>
      <w:u w:val="single"/>
    </w:rPr>
  </w:style>
  <w:style w:type="paragraph" w:styleId="NoSpacing">
    <w:name w:val="No Spacing"/>
    <w:uiPriority w:val="1"/>
    <w:qFormat/>
    <w:rsid w:val="006C3A67"/>
    <w:rPr>
      <w:sz w:val="22"/>
      <w:szCs w:val="22"/>
      <w:lang w:val="en-US" w:eastAsia="en-US"/>
    </w:rPr>
  </w:style>
  <w:style w:type="paragraph" w:customStyle="1" w:styleId="Default">
    <w:name w:val="Default"/>
    <w:rsid w:val="006C3A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15">
    <w:name w:val="A15"/>
    <w:rsid w:val="006C3A67"/>
    <w:rPr>
      <w:color w:val="000000"/>
      <w:sz w:val="14"/>
    </w:rPr>
  </w:style>
  <w:style w:type="paragraph" w:customStyle="1" w:styleId="Pa7">
    <w:name w:val="Pa7"/>
    <w:basedOn w:val="Normal"/>
    <w:next w:val="Normal"/>
    <w:rsid w:val="006C3A67"/>
    <w:pPr>
      <w:autoSpaceDE w:val="0"/>
      <w:autoSpaceDN w:val="0"/>
      <w:adjustRightInd w:val="0"/>
      <w:spacing w:line="221" w:lineRule="atLeast"/>
      <w:jc w:val="left"/>
    </w:pPr>
    <w:rPr>
      <w:rFonts w:ascii="Meta Plus Normal" w:hAnsi="Meta Plus Normal"/>
      <w:sz w:val="24"/>
      <w:szCs w:val="24"/>
    </w:rPr>
  </w:style>
  <w:style w:type="character" w:styleId="HTMLCite">
    <w:name w:val="HTML Cite"/>
    <w:basedOn w:val="DefaultParagraphFont"/>
    <w:uiPriority w:val="99"/>
    <w:rsid w:val="005D2588"/>
    <w:rPr>
      <w:i/>
    </w:rPr>
  </w:style>
  <w:style w:type="character" w:customStyle="1" w:styleId="vshid1">
    <w:name w:val="vshid1"/>
    <w:uiPriority w:val="99"/>
    <w:rsid w:val="005D2588"/>
    <w:rPr>
      <w:vanish/>
    </w:rPr>
  </w:style>
  <w:style w:type="character" w:styleId="FollowedHyperlink">
    <w:name w:val="FollowedHyperlink"/>
    <w:basedOn w:val="DefaultParagraphFont"/>
    <w:uiPriority w:val="99"/>
    <w:semiHidden/>
    <w:unhideWhenUsed/>
    <w:rsid w:val="00E66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qld.gov.au/oralhealth/promo_programs/happy_teeth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h.org.au/emplibrary/ccch/CCH_Fact_Sheet_-_Oral_healt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qld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alth.qld.gov.au/oralhealth/promo_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h.org.au/ccch/%20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3E66-7384-43F3-B5E9-88750B5D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Health</vt:lpstr>
    </vt:vector>
  </TitlesOfParts>
  <Company>Toshiba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Health</dc:title>
  <dc:subject/>
  <dc:creator>Dr Brenda Abbey</dc:creator>
  <cp:keywords/>
  <dc:description/>
  <cp:lastModifiedBy>Maryann Dziedzic</cp:lastModifiedBy>
  <cp:revision>4</cp:revision>
  <cp:lastPrinted>2012-04-14T23:08:00Z</cp:lastPrinted>
  <dcterms:created xsi:type="dcterms:W3CDTF">2018-02-15T02:06:00Z</dcterms:created>
  <dcterms:modified xsi:type="dcterms:W3CDTF">2018-04-03T21:01:00Z</dcterms:modified>
</cp:coreProperties>
</file>