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A67" w:rsidRDefault="004C4A67" w:rsidP="003C3C29">
      <w:pPr>
        <w:rPr>
          <w:b/>
          <w:sz w:val="22"/>
        </w:rPr>
      </w:pPr>
      <w:bookmarkStart w:id="0" w:name="OLE_LINK3"/>
    </w:p>
    <w:p w:rsidR="00A060A1" w:rsidRDefault="00A060A1" w:rsidP="003C3C29">
      <w:pPr>
        <w:rPr>
          <w:b/>
          <w:sz w:val="22"/>
        </w:rPr>
      </w:pPr>
    </w:p>
    <w:p w:rsidR="003C3C29" w:rsidRPr="003C3C29" w:rsidRDefault="00292A77" w:rsidP="003C3C29">
      <w:pPr>
        <w:rPr>
          <w:b/>
          <w:sz w:val="22"/>
        </w:rPr>
      </w:pPr>
      <w:r>
        <w:rPr>
          <w:b/>
          <w:sz w:val="22"/>
        </w:rPr>
        <w:t>Canossa Kindergarten</w:t>
      </w:r>
    </w:p>
    <w:p w:rsidR="003C3C29" w:rsidRDefault="003C3C29" w:rsidP="003C3C29">
      <w:pPr>
        <w:pBdr>
          <w:bottom w:val="single" w:sz="4" w:space="1" w:color="auto"/>
        </w:pBdr>
        <w:jc w:val="both"/>
        <w:rPr>
          <w:b/>
          <w:sz w:val="22"/>
        </w:rPr>
      </w:pPr>
    </w:p>
    <w:p w:rsidR="003C3C29" w:rsidRPr="003C3C29" w:rsidRDefault="003C3C29" w:rsidP="003C3C29">
      <w:pPr>
        <w:pBdr>
          <w:bottom w:val="single" w:sz="4" w:space="1" w:color="auto"/>
        </w:pBdr>
        <w:jc w:val="both"/>
        <w:rPr>
          <w:b/>
          <w:sz w:val="22"/>
        </w:rPr>
      </w:pPr>
    </w:p>
    <w:p w:rsidR="003C3C29" w:rsidRPr="00AD4590" w:rsidRDefault="003C3C29" w:rsidP="003C3C29">
      <w:pPr>
        <w:pBdr>
          <w:bottom w:val="single" w:sz="4" w:space="1" w:color="auto"/>
        </w:pBdr>
        <w:jc w:val="left"/>
        <w:rPr>
          <w:b/>
          <w:sz w:val="22"/>
        </w:rPr>
      </w:pPr>
      <w:r w:rsidRPr="00AD4590">
        <w:rPr>
          <w:b/>
          <w:sz w:val="22"/>
        </w:rPr>
        <w:t>Background</w:t>
      </w:r>
    </w:p>
    <w:p w:rsidR="003C3C29" w:rsidRPr="00AD4590" w:rsidRDefault="003C3C29" w:rsidP="003C3C29">
      <w:pPr>
        <w:ind w:left="360"/>
        <w:jc w:val="left"/>
        <w:rPr>
          <w:sz w:val="22"/>
        </w:rPr>
      </w:pPr>
    </w:p>
    <w:p w:rsidR="003C3C29" w:rsidRPr="00AD4590" w:rsidRDefault="003C3C29" w:rsidP="003C3C29">
      <w:pPr>
        <w:shd w:val="clear" w:color="auto" w:fill="FFFFFF"/>
        <w:jc w:val="both"/>
        <w:rPr>
          <w:rFonts w:cs="Arial"/>
          <w:sz w:val="22"/>
        </w:rPr>
      </w:pPr>
      <w:r w:rsidRPr="00AD4590">
        <w:rPr>
          <w:rFonts w:cs="Arial"/>
          <w:sz w:val="22"/>
        </w:rPr>
        <w:t xml:space="preserve">Child abuse and neglect consist of an act of commission or omission that endangers or impairs a child's physical or emotional health and development. </w:t>
      </w:r>
    </w:p>
    <w:p w:rsidR="003C3C29" w:rsidRPr="00AD4590" w:rsidRDefault="003C3C29" w:rsidP="003C3C29">
      <w:pPr>
        <w:shd w:val="clear" w:color="auto" w:fill="FFFFFF"/>
        <w:jc w:val="both"/>
        <w:rPr>
          <w:rFonts w:cs="Arial"/>
          <w:color w:val="993300"/>
          <w:sz w:val="22"/>
        </w:rPr>
      </w:pPr>
    </w:p>
    <w:p w:rsidR="003C3C29" w:rsidRPr="00AD4590" w:rsidRDefault="003C3C29" w:rsidP="003C3C29">
      <w:pPr>
        <w:shd w:val="clear" w:color="auto" w:fill="FFFFFF"/>
        <w:jc w:val="both"/>
        <w:rPr>
          <w:rFonts w:cs="Arial"/>
          <w:sz w:val="22"/>
        </w:rPr>
      </w:pPr>
      <w:r w:rsidRPr="00AD4590">
        <w:rPr>
          <w:rFonts w:cs="Arial"/>
          <w:sz w:val="22"/>
        </w:rPr>
        <w:t xml:space="preserve">Given the high number of children in early childhood education and care services, it is highly likely that staff will encounter a child they suspect has experienced harm or neglect. It is also possible that staff may encounter a child they suspect has been harmed by a person at the </w:t>
      </w:r>
      <w:r w:rsidR="00F55E08" w:rsidRPr="00AD4590">
        <w:rPr>
          <w:rFonts w:cs="Arial"/>
          <w:sz w:val="22"/>
        </w:rPr>
        <w:t>Service</w:t>
      </w:r>
      <w:r w:rsidRPr="00AD4590">
        <w:rPr>
          <w:rFonts w:cs="Arial"/>
          <w:sz w:val="22"/>
        </w:rPr>
        <w:t xml:space="preserve">. </w:t>
      </w:r>
    </w:p>
    <w:p w:rsidR="006C4FA2" w:rsidRDefault="003C3C29" w:rsidP="006C4FA2">
      <w:pPr>
        <w:spacing w:before="120" w:after="60"/>
        <w:jc w:val="both"/>
        <w:rPr>
          <w:rFonts w:cs="Arial"/>
          <w:sz w:val="22"/>
        </w:rPr>
      </w:pPr>
      <w:r w:rsidRPr="00AD4590">
        <w:rPr>
          <w:rFonts w:cs="Arial"/>
          <w:sz w:val="22"/>
        </w:rPr>
        <w:t xml:space="preserve">In Queensland, </w:t>
      </w:r>
      <w:r w:rsidR="006C4FA2">
        <w:rPr>
          <w:rFonts w:cs="Arial"/>
          <w:sz w:val="22"/>
        </w:rPr>
        <w:t xml:space="preserve">the Child Protection Act 1999 Section 13 </w:t>
      </w:r>
      <w:proofErr w:type="gramStart"/>
      <w:r w:rsidR="006C4FA2" w:rsidRPr="006C4FA2">
        <w:rPr>
          <w:rFonts w:cs="Arial"/>
          <w:sz w:val="22"/>
        </w:rPr>
        <w:t>E(</w:t>
      </w:r>
      <w:proofErr w:type="gramEnd"/>
      <w:r w:rsidR="006C4FA2" w:rsidRPr="006C4FA2">
        <w:rPr>
          <w:rFonts w:cs="Arial"/>
          <w:sz w:val="22"/>
        </w:rPr>
        <w:t>1)</w:t>
      </w:r>
      <w:r w:rsidR="006C4FA2">
        <w:rPr>
          <w:rFonts w:cs="Arial"/>
          <w:sz w:val="22"/>
        </w:rPr>
        <w:t xml:space="preserve"> requires </w:t>
      </w:r>
      <w:r w:rsidR="00572792">
        <w:rPr>
          <w:rFonts w:cs="Arial"/>
          <w:sz w:val="22"/>
        </w:rPr>
        <w:t xml:space="preserve">early education and care professionals </w:t>
      </w:r>
      <w:r w:rsidR="004B3963">
        <w:rPr>
          <w:rFonts w:cs="Arial"/>
          <w:sz w:val="22"/>
        </w:rPr>
        <w:t>to report</w:t>
      </w:r>
      <w:r w:rsidR="006C4FA2">
        <w:rPr>
          <w:rFonts w:cs="Arial"/>
          <w:sz w:val="22"/>
        </w:rPr>
        <w:t xml:space="preserve"> any </w:t>
      </w:r>
      <w:r w:rsidR="004B3963">
        <w:rPr>
          <w:rFonts w:cs="Arial"/>
          <w:sz w:val="22"/>
        </w:rPr>
        <w:t>reasonabl</w:t>
      </w:r>
      <w:r w:rsidR="006C4FA2">
        <w:rPr>
          <w:rFonts w:cs="Arial"/>
          <w:sz w:val="22"/>
        </w:rPr>
        <w:t>e</w:t>
      </w:r>
      <w:r w:rsidR="004B3963">
        <w:rPr>
          <w:rFonts w:cs="Arial"/>
          <w:sz w:val="22"/>
        </w:rPr>
        <w:t xml:space="preserve"> susp</w:t>
      </w:r>
      <w:r w:rsidR="006C4FA2">
        <w:rPr>
          <w:rFonts w:cs="Arial"/>
          <w:sz w:val="22"/>
        </w:rPr>
        <w:t xml:space="preserve">icion that a </w:t>
      </w:r>
      <w:r w:rsidR="004B3963">
        <w:rPr>
          <w:rFonts w:cs="Arial"/>
          <w:sz w:val="22"/>
        </w:rPr>
        <w:t>child: (</w:t>
      </w:r>
      <w:r w:rsidR="00572792" w:rsidRPr="00572792">
        <w:rPr>
          <w:rFonts w:cs="Arial"/>
          <w:sz w:val="22"/>
        </w:rPr>
        <w:t>a)</w:t>
      </w:r>
      <w:r w:rsidR="004B3963">
        <w:rPr>
          <w:rFonts w:cs="Arial"/>
          <w:sz w:val="22"/>
        </w:rPr>
        <w:t xml:space="preserve"> </w:t>
      </w:r>
      <w:r w:rsidR="00572792" w:rsidRPr="00572792">
        <w:rPr>
          <w:rFonts w:cs="Arial"/>
          <w:sz w:val="22"/>
        </w:rPr>
        <w:t>has suffered, is suffering, or is at unacceptable risk of suffering, significant harm caused by physical or sexual abuse; and</w:t>
      </w:r>
      <w:r w:rsidR="004B3963">
        <w:rPr>
          <w:rFonts w:cs="Arial"/>
          <w:sz w:val="22"/>
        </w:rPr>
        <w:t xml:space="preserve"> </w:t>
      </w:r>
      <w:r w:rsidR="00572792" w:rsidRPr="00572792">
        <w:rPr>
          <w:rFonts w:cs="Arial"/>
          <w:sz w:val="22"/>
        </w:rPr>
        <w:t>(b)may not have a parent able and willing to protect the child from the harm.</w:t>
      </w:r>
      <w:r w:rsidR="00572792">
        <w:rPr>
          <w:rFonts w:cs="Arial"/>
          <w:sz w:val="22"/>
        </w:rPr>
        <w:t xml:space="preserve"> </w:t>
      </w:r>
    </w:p>
    <w:p w:rsidR="006C4FA2" w:rsidRDefault="006C4FA2" w:rsidP="003C3C29">
      <w:pPr>
        <w:pBdr>
          <w:bottom w:val="single" w:sz="4" w:space="1" w:color="auto"/>
        </w:pBdr>
        <w:jc w:val="left"/>
        <w:rPr>
          <w:b/>
          <w:sz w:val="22"/>
        </w:rPr>
      </w:pPr>
    </w:p>
    <w:p w:rsidR="003C3C29" w:rsidRPr="00AD4590" w:rsidRDefault="003C3C29" w:rsidP="003C3C29">
      <w:pPr>
        <w:pBdr>
          <w:bottom w:val="single" w:sz="4" w:space="1" w:color="auto"/>
        </w:pBdr>
        <w:jc w:val="left"/>
        <w:rPr>
          <w:b/>
          <w:sz w:val="22"/>
        </w:rPr>
      </w:pPr>
      <w:r w:rsidRPr="00AD4590">
        <w:rPr>
          <w:b/>
          <w:sz w:val="22"/>
        </w:rPr>
        <w:t>Policy statement</w:t>
      </w:r>
    </w:p>
    <w:p w:rsidR="003C3C29" w:rsidRPr="00AD4590" w:rsidRDefault="003C3C29" w:rsidP="003C3C29">
      <w:pPr>
        <w:ind w:left="360"/>
        <w:jc w:val="left"/>
        <w:rPr>
          <w:sz w:val="22"/>
        </w:rPr>
      </w:pPr>
    </w:p>
    <w:p w:rsidR="003C3C29" w:rsidRPr="00AD4590" w:rsidRDefault="003C3C29" w:rsidP="003C3C29">
      <w:pPr>
        <w:shd w:val="clear" w:color="auto" w:fill="FFFFFF"/>
        <w:jc w:val="both"/>
        <w:rPr>
          <w:rFonts w:cs="Arial"/>
          <w:sz w:val="22"/>
        </w:rPr>
      </w:pPr>
      <w:r w:rsidRPr="00AD4590">
        <w:rPr>
          <w:rFonts w:cs="Arial"/>
          <w:sz w:val="22"/>
        </w:rPr>
        <w:t xml:space="preserve">The </w:t>
      </w:r>
      <w:r w:rsidR="00F55E08" w:rsidRPr="00AD4590">
        <w:rPr>
          <w:rFonts w:cs="Arial"/>
          <w:sz w:val="22"/>
        </w:rPr>
        <w:t>Service</w:t>
      </w:r>
      <w:r w:rsidRPr="00AD4590">
        <w:rPr>
          <w:rFonts w:cs="Arial"/>
          <w:sz w:val="22"/>
        </w:rPr>
        <w:t xml:space="preserve"> seeks to create a safe and supportive environment for the children who attend the </w:t>
      </w:r>
      <w:r w:rsidR="00F55E08" w:rsidRPr="00AD4590">
        <w:rPr>
          <w:rFonts w:cs="Arial"/>
          <w:sz w:val="22"/>
        </w:rPr>
        <w:t>Service</w:t>
      </w:r>
      <w:r w:rsidRPr="00AD4590">
        <w:rPr>
          <w:rFonts w:cs="Arial"/>
          <w:sz w:val="22"/>
        </w:rPr>
        <w:t xml:space="preserve"> and for their families. To this end, the </w:t>
      </w:r>
      <w:r w:rsidR="00F55E08" w:rsidRPr="00AD4590">
        <w:rPr>
          <w:rFonts w:cs="Arial"/>
          <w:sz w:val="22"/>
        </w:rPr>
        <w:t>Service</w:t>
      </w:r>
      <w:r w:rsidRPr="00AD4590">
        <w:rPr>
          <w:rFonts w:cs="Arial"/>
          <w:sz w:val="22"/>
        </w:rPr>
        <w:t xml:space="preserve"> ensures that processes are in place to identify harm or suspected harm to a child and that the </w:t>
      </w:r>
      <w:r w:rsidR="00F55E08" w:rsidRPr="00AD4590">
        <w:rPr>
          <w:rFonts w:cs="Arial"/>
          <w:sz w:val="22"/>
        </w:rPr>
        <w:t>Service</w:t>
      </w:r>
      <w:r w:rsidRPr="00AD4590">
        <w:rPr>
          <w:rFonts w:cs="Arial"/>
          <w:sz w:val="22"/>
        </w:rPr>
        <w:t xml:space="preserve">’s response is lawful, professional and immediate. </w:t>
      </w:r>
    </w:p>
    <w:p w:rsidR="003C3C29" w:rsidRPr="00AD4590" w:rsidRDefault="003C3C29" w:rsidP="003C3C29">
      <w:pPr>
        <w:jc w:val="left"/>
        <w:rPr>
          <w:b/>
          <w:sz w:val="22"/>
        </w:rPr>
      </w:pPr>
      <w:bookmarkStart w:id="1" w:name="OLE_LINK4"/>
    </w:p>
    <w:bookmarkEnd w:id="1"/>
    <w:p w:rsidR="003C3C29" w:rsidRPr="00AD4590" w:rsidRDefault="003C3C29" w:rsidP="003C3C29">
      <w:pPr>
        <w:pBdr>
          <w:bottom w:val="single" w:sz="4" w:space="1" w:color="auto"/>
        </w:pBdr>
        <w:jc w:val="left"/>
        <w:rPr>
          <w:b/>
          <w:sz w:val="22"/>
        </w:rPr>
      </w:pPr>
      <w:r w:rsidRPr="00AD4590">
        <w:rPr>
          <w:b/>
          <w:sz w:val="22"/>
        </w:rPr>
        <w:t>Strategies and practices</w:t>
      </w:r>
    </w:p>
    <w:p w:rsidR="003C3C29" w:rsidRPr="00AD4590" w:rsidRDefault="003C3C29" w:rsidP="003C3C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Calibri"/>
          <w:sz w:val="22"/>
        </w:rPr>
      </w:pPr>
    </w:p>
    <w:p w:rsidR="003C3C29" w:rsidRPr="00AD4590" w:rsidRDefault="003C3C29" w:rsidP="003C3C29">
      <w:pPr>
        <w:numPr>
          <w:ilvl w:val="0"/>
          <w:numId w:val="27"/>
        </w:numPr>
        <w:spacing w:before="60" w:after="60"/>
        <w:jc w:val="both"/>
        <w:rPr>
          <w:rFonts w:cs="Arial"/>
          <w:sz w:val="22"/>
        </w:rPr>
      </w:pPr>
      <w:r w:rsidRPr="00AD4590">
        <w:rPr>
          <w:snapToGrid w:val="0"/>
          <w:sz w:val="22"/>
        </w:rPr>
        <w:t xml:space="preserve">The </w:t>
      </w:r>
      <w:r w:rsidR="00F55E08" w:rsidRPr="00AD4590">
        <w:rPr>
          <w:snapToGrid w:val="0"/>
          <w:sz w:val="22"/>
        </w:rPr>
        <w:t>Service</w:t>
      </w:r>
      <w:r w:rsidRPr="00AD4590">
        <w:rPr>
          <w:snapToGrid w:val="0"/>
          <w:sz w:val="22"/>
        </w:rPr>
        <w:t xml:space="preserve"> is committed to providing a safe and supportive environment for children where adults treat them with understanding, dignity and respect at all times, and listen to their concerns. The </w:t>
      </w:r>
      <w:r w:rsidR="00D163B1">
        <w:rPr>
          <w:snapToGrid w:val="0"/>
          <w:sz w:val="22"/>
        </w:rPr>
        <w:t>staff have signed a</w:t>
      </w:r>
      <w:r w:rsidRPr="00AD4590">
        <w:rPr>
          <w:snapToGrid w:val="0"/>
          <w:sz w:val="22"/>
        </w:rPr>
        <w:t xml:space="preserve"> </w:t>
      </w:r>
      <w:r w:rsidRPr="00AD4590">
        <w:rPr>
          <w:snapToGrid w:val="0"/>
          <w:sz w:val="22"/>
          <w:u w:val="single"/>
        </w:rPr>
        <w:t>Statement of Commitment</w:t>
      </w:r>
      <w:r w:rsidRPr="00AD4590">
        <w:rPr>
          <w:snapToGrid w:val="0"/>
          <w:sz w:val="22"/>
        </w:rPr>
        <w:t xml:space="preserve"> </w:t>
      </w:r>
      <w:r w:rsidR="00D163B1">
        <w:rPr>
          <w:snapToGrid w:val="0"/>
          <w:sz w:val="22"/>
        </w:rPr>
        <w:t>which is kept on file.</w:t>
      </w:r>
    </w:p>
    <w:p w:rsidR="003C3C29" w:rsidRPr="00AD4590" w:rsidRDefault="003C3C29" w:rsidP="003C3C29">
      <w:pPr>
        <w:spacing w:before="60" w:after="60"/>
        <w:ind w:left="360"/>
        <w:jc w:val="both"/>
        <w:rPr>
          <w:rFonts w:cs="Arial"/>
          <w:sz w:val="22"/>
        </w:rPr>
      </w:pPr>
    </w:p>
    <w:p w:rsidR="003C3C29" w:rsidRPr="00AD4590" w:rsidRDefault="003C3C29" w:rsidP="003C3C29">
      <w:pPr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</w:rPr>
      </w:pPr>
      <w:r w:rsidRPr="00AD4590">
        <w:rPr>
          <w:rFonts w:cs="Arial"/>
          <w:sz w:val="22"/>
        </w:rPr>
        <w:t xml:space="preserve">The </w:t>
      </w:r>
      <w:r w:rsidR="00F55E08" w:rsidRPr="00AD4590">
        <w:rPr>
          <w:rFonts w:cs="Arial"/>
          <w:sz w:val="22"/>
        </w:rPr>
        <w:t>Service</w:t>
      </w:r>
      <w:r w:rsidRPr="00AD4590">
        <w:rPr>
          <w:rFonts w:cs="Arial"/>
          <w:sz w:val="22"/>
        </w:rPr>
        <w:t xml:space="preserve"> has developed and implemented its own </w:t>
      </w:r>
      <w:r w:rsidRPr="00AD4590">
        <w:rPr>
          <w:rFonts w:cs="Arial"/>
          <w:sz w:val="22"/>
          <w:u w:val="single"/>
        </w:rPr>
        <w:t>Code of Conduct – Child Protection</w:t>
      </w:r>
      <w:r w:rsidRPr="00AD4590">
        <w:rPr>
          <w:rFonts w:cs="Arial"/>
          <w:sz w:val="22"/>
        </w:rPr>
        <w:t xml:space="preserve"> for interactions with children. The Code applies to staff, educators, students, volunteers and visitors to the </w:t>
      </w:r>
      <w:r w:rsidR="00F55E08" w:rsidRPr="00AD4590">
        <w:rPr>
          <w:rFonts w:cs="Arial"/>
          <w:sz w:val="22"/>
        </w:rPr>
        <w:t>Service</w:t>
      </w:r>
      <w:r w:rsidRPr="00AD4590">
        <w:rPr>
          <w:rFonts w:cs="Arial"/>
          <w:sz w:val="22"/>
        </w:rPr>
        <w:t>, and each is given a copy of the Code.</w:t>
      </w:r>
      <w:r w:rsidRPr="00AD4590">
        <w:rPr>
          <w:i/>
          <w:sz w:val="22"/>
        </w:rPr>
        <w:t xml:space="preserve"> </w:t>
      </w:r>
    </w:p>
    <w:p w:rsidR="003C3C29" w:rsidRPr="00AD4590" w:rsidRDefault="003C3C29" w:rsidP="003C3C29">
      <w:pPr>
        <w:ind w:left="720"/>
        <w:jc w:val="left"/>
        <w:rPr>
          <w:snapToGrid w:val="0"/>
          <w:sz w:val="22"/>
        </w:rPr>
      </w:pPr>
    </w:p>
    <w:p w:rsidR="003C3C29" w:rsidRPr="00AD4590" w:rsidRDefault="003C3C29" w:rsidP="003C3C29">
      <w:pPr>
        <w:numPr>
          <w:ilvl w:val="0"/>
          <w:numId w:val="27"/>
        </w:numPr>
        <w:spacing w:before="60" w:after="60"/>
        <w:jc w:val="both"/>
        <w:rPr>
          <w:rFonts w:cs="Arial"/>
          <w:sz w:val="22"/>
        </w:rPr>
      </w:pPr>
      <w:r w:rsidRPr="00AD4590">
        <w:rPr>
          <w:rFonts w:cs="Arial"/>
          <w:sz w:val="22"/>
        </w:rPr>
        <w:t xml:space="preserve">This Policy is explained to all staff, educators, students and volunteers before they commence at the </w:t>
      </w:r>
      <w:r w:rsidR="00F55E08" w:rsidRPr="00AD4590">
        <w:rPr>
          <w:rFonts w:cs="Arial"/>
          <w:sz w:val="22"/>
        </w:rPr>
        <w:t>Service</w:t>
      </w:r>
      <w:r w:rsidRPr="00AD4590">
        <w:rPr>
          <w:rFonts w:cs="Arial"/>
          <w:sz w:val="22"/>
        </w:rPr>
        <w:t xml:space="preserve">. At that time, they are given the opportunity to ask any questions needed to clarify their understanding. They are then asked to sign the </w:t>
      </w:r>
      <w:r w:rsidRPr="00AD4590">
        <w:rPr>
          <w:rFonts w:cs="Arial"/>
          <w:sz w:val="22"/>
          <w:u w:val="single"/>
        </w:rPr>
        <w:t>Child Protection Staff Acknowledgement Form</w:t>
      </w:r>
      <w:r w:rsidRPr="00AD4590">
        <w:rPr>
          <w:rFonts w:cs="Arial"/>
          <w:sz w:val="22"/>
        </w:rPr>
        <w:t xml:space="preserve">. </w:t>
      </w:r>
    </w:p>
    <w:p w:rsidR="003C3C29" w:rsidRPr="00AD4590" w:rsidRDefault="003C3C29" w:rsidP="003C3C29">
      <w:pPr>
        <w:spacing w:before="60" w:after="60"/>
        <w:jc w:val="both"/>
        <w:rPr>
          <w:rFonts w:cs="Arial"/>
          <w:sz w:val="22"/>
        </w:rPr>
      </w:pPr>
    </w:p>
    <w:p w:rsidR="003C3C29" w:rsidRPr="00AD4590" w:rsidRDefault="003C3C29" w:rsidP="003C3C29">
      <w:pPr>
        <w:numPr>
          <w:ilvl w:val="0"/>
          <w:numId w:val="27"/>
        </w:numPr>
        <w:spacing w:before="60" w:after="60"/>
        <w:jc w:val="both"/>
        <w:rPr>
          <w:rFonts w:cs="Arial"/>
          <w:sz w:val="22"/>
        </w:rPr>
      </w:pPr>
      <w:r w:rsidRPr="00AD4590">
        <w:rPr>
          <w:rFonts w:cs="Arial"/>
          <w:sz w:val="22"/>
        </w:rPr>
        <w:t xml:space="preserve">Child protection and child safety information is displayed on notice boards, and brochures are made available to parents, staff and other interested parties. </w:t>
      </w:r>
    </w:p>
    <w:p w:rsidR="003C3C29" w:rsidRPr="00AD4590" w:rsidRDefault="003C3C29" w:rsidP="003C3C29">
      <w:pPr>
        <w:ind w:left="720"/>
        <w:jc w:val="left"/>
        <w:rPr>
          <w:rFonts w:cs="Arial"/>
          <w:sz w:val="22"/>
        </w:rPr>
      </w:pPr>
    </w:p>
    <w:p w:rsidR="00883D68" w:rsidRDefault="003C3C29" w:rsidP="0099617F">
      <w:pPr>
        <w:widowControl w:val="0"/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</w:rPr>
      </w:pPr>
      <w:r w:rsidRPr="00887A79">
        <w:rPr>
          <w:snapToGrid w:val="0"/>
          <w:sz w:val="22"/>
        </w:rPr>
        <w:t xml:space="preserve">The </w:t>
      </w:r>
      <w:r w:rsidR="00F55E08" w:rsidRPr="00887A79">
        <w:rPr>
          <w:snapToGrid w:val="0"/>
          <w:sz w:val="22"/>
        </w:rPr>
        <w:t>Service</w:t>
      </w:r>
      <w:r w:rsidRPr="00887A79">
        <w:rPr>
          <w:snapToGrid w:val="0"/>
          <w:sz w:val="22"/>
        </w:rPr>
        <w:t xml:space="preserve"> has clear procedures for recruiting, selecting and screening suitably qualified and experienced staff. No </w:t>
      </w:r>
      <w:r w:rsidR="00883D68" w:rsidRPr="00887A79">
        <w:rPr>
          <w:snapToGrid w:val="0"/>
          <w:sz w:val="22"/>
        </w:rPr>
        <w:t>person</w:t>
      </w:r>
      <w:r w:rsidRPr="00887A79">
        <w:rPr>
          <w:snapToGrid w:val="0"/>
          <w:sz w:val="22"/>
        </w:rPr>
        <w:t xml:space="preserve"> commences at the </w:t>
      </w:r>
      <w:r w:rsidR="00F55E08" w:rsidRPr="00887A79">
        <w:rPr>
          <w:snapToGrid w:val="0"/>
          <w:sz w:val="22"/>
        </w:rPr>
        <w:t>Service</w:t>
      </w:r>
      <w:r w:rsidRPr="00887A79">
        <w:rPr>
          <w:snapToGrid w:val="0"/>
          <w:sz w:val="22"/>
        </w:rPr>
        <w:t xml:space="preserve"> without </w:t>
      </w:r>
      <w:r w:rsidR="0000702D" w:rsidRPr="00887A79">
        <w:rPr>
          <w:snapToGrid w:val="0"/>
          <w:sz w:val="22"/>
        </w:rPr>
        <w:t>provid</w:t>
      </w:r>
      <w:r w:rsidR="00E62F65" w:rsidRPr="00887A79">
        <w:rPr>
          <w:snapToGrid w:val="0"/>
          <w:sz w:val="22"/>
        </w:rPr>
        <w:t>ing</w:t>
      </w:r>
      <w:r w:rsidR="003E6B7D" w:rsidRPr="00887A79">
        <w:rPr>
          <w:snapToGrid w:val="0"/>
          <w:sz w:val="22"/>
        </w:rPr>
        <w:t xml:space="preserve"> a current Blue Card</w:t>
      </w:r>
      <w:r w:rsidR="002842F0">
        <w:rPr>
          <w:snapToGrid w:val="0"/>
          <w:sz w:val="22"/>
        </w:rPr>
        <w:t>.</w:t>
      </w:r>
    </w:p>
    <w:p w:rsidR="002842F0" w:rsidRDefault="002842F0" w:rsidP="002842F0">
      <w:pPr>
        <w:pStyle w:val="ListParagraph"/>
        <w:rPr>
          <w:snapToGrid w:val="0"/>
          <w:sz w:val="22"/>
        </w:rPr>
      </w:pPr>
    </w:p>
    <w:p w:rsidR="002842F0" w:rsidRDefault="002842F0" w:rsidP="002842F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</w:rPr>
      </w:pPr>
    </w:p>
    <w:p w:rsidR="002842F0" w:rsidRDefault="002842F0" w:rsidP="002842F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</w:rPr>
      </w:pPr>
    </w:p>
    <w:p w:rsidR="002842F0" w:rsidRDefault="002842F0" w:rsidP="002842F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</w:rPr>
      </w:pPr>
    </w:p>
    <w:p w:rsidR="00887A79" w:rsidRDefault="00887A79" w:rsidP="002675BF">
      <w:pPr>
        <w:pStyle w:val="ListParagraph"/>
        <w:rPr>
          <w:snapToGrid w:val="0"/>
          <w:sz w:val="22"/>
        </w:rPr>
      </w:pPr>
    </w:p>
    <w:p w:rsidR="00EA16C4" w:rsidRPr="00961D3E" w:rsidRDefault="00887A79" w:rsidP="002675BF">
      <w:pPr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</w:rPr>
      </w:pPr>
      <w:r w:rsidRPr="00887A79">
        <w:rPr>
          <w:snapToGrid w:val="0"/>
          <w:sz w:val="22"/>
        </w:rPr>
        <w:t xml:space="preserve">The </w:t>
      </w:r>
      <w:r w:rsidR="003C3C29" w:rsidRPr="00887A79">
        <w:rPr>
          <w:snapToGrid w:val="0"/>
          <w:sz w:val="22"/>
        </w:rPr>
        <w:t xml:space="preserve">Nominated Supervisor maintains a </w:t>
      </w:r>
      <w:r w:rsidR="003C3C29" w:rsidRPr="00887A79">
        <w:rPr>
          <w:snapToGrid w:val="0"/>
          <w:sz w:val="22"/>
          <w:u w:val="single"/>
        </w:rPr>
        <w:t>Staff Summary Sheet</w:t>
      </w:r>
      <w:r w:rsidR="002842F0">
        <w:rPr>
          <w:snapToGrid w:val="0"/>
          <w:sz w:val="22"/>
        </w:rPr>
        <w:t xml:space="preserve"> </w:t>
      </w:r>
      <w:r w:rsidR="003C3C29" w:rsidRPr="00887A79">
        <w:rPr>
          <w:snapToGrid w:val="0"/>
          <w:sz w:val="22"/>
        </w:rPr>
        <w:t xml:space="preserve">which clearly indicates the expiry dates of </w:t>
      </w:r>
      <w:r w:rsidR="002B654A" w:rsidRPr="00887A79">
        <w:rPr>
          <w:snapToGrid w:val="0"/>
          <w:sz w:val="22"/>
        </w:rPr>
        <w:t xml:space="preserve">Blue Cards for </w:t>
      </w:r>
      <w:r w:rsidR="003C3C29" w:rsidRPr="00887A79">
        <w:rPr>
          <w:snapToGrid w:val="0"/>
          <w:sz w:val="22"/>
        </w:rPr>
        <w:t xml:space="preserve">all staff members. </w:t>
      </w:r>
    </w:p>
    <w:p w:rsidR="00EE493E" w:rsidRPr="00AD4590" w:rsidRDefault="00EE493E" w:rsidP="00EE493E">
      <w:pPr>
        <w:pStyle w:val="ListParagraph"/>
        <w:rPr>
          <w:snapToGrid w:val="0"/>
          <w:sz w:val="22"/>
        </w:rPr>
      </w:pPr>
    </w:p>
    <w:p w:rsidR="003C3C29" w:rsidRPr="00AD4590" w:rsidRDefault="003C3C29" w:rsidP="003C3C29">
      <w:pPr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</w:rPr>
      </w:pPr>
      <w:r w:rsidRPr="00AD4590">
        <w:rPr>
          <w:snapToGrid w:val="0"/>
          <w:sz w:val="22"/>
        </w:rPr>
        <w:t xml:space="preserve">Staff are informed that it is an offence not to notify the </w:t>
      </w:r>
      <w:r w:rsidR="00F55E08" w:rsidRPr="00AD4590">
        <w:rPr>
          <w:snapToGrid w:val="0"/>
          <w:sz w:val="22"/>
        </w:rPr>
        <w:t>Service</w:t>
      </w:r>
      <w:r w:rsidRPr="00AD4590">
        <w:rPr>
          <w:snapToGrid w:val="0"/>
          <w:sz w:val="22"/>
        </w:rPr>
        <w:t xml:space="preserve"> of any change in the criminal history or police information they have previously provided to </w:t>
      </w:r>
      <w:r w:rsidR="0099617F">
        <w:rPr>
          <w:snapToGrid w:val="0"/>
          <w:sz w:val="22"/>
        </w:rPr>
        <w:t xml:space="preserve">Blue Card Services when obtaining their card. </w:t>
      </w:r>
    </w:p>
    <w:p w:rsidR="003C3C29" w:rsidRPr="00AD4590" w:rsidRDefault="003C3C29" w:rsidP="003C3C2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</w:rPr>
      </w:pPr>
    </w:p>
    <w:p w:rsidR="003C3C29" w:rsidRPr="00AD4590" w:rsidRDefault="003C3C29" w:rsidP="003C3C29">
      <w:pPr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</w:rPr>
      </w:pPr>
      <w:r w:rsidRPr="00AD4590">
        <w:rPr>
          <w:snapToGrid w:val="0"/>
          <w:sz w:val="22"/>
        </w:rPr>
        <w:t xml:space="preserve">The Nominated Supervisor </w:t>
      </w:r>
      <w:r w:rsidRPr="00AD4590">
        <w:rPr>
          <w:rFonts w:cs="Calibri"/>
          <w:snapToGrid w:val="0"/>
          <w:sz w:val="22"/>
        </w:rPr>
        <w:t xml:space="preserve">interviews all students and volunteers before agreeing to their placement at the </w:t>
      </w:r>
      <w:r w:rsidR="00F55E08" w:rsidRPr="00AD4590">
        <w:rPr>
          <w:rFonts w:cs="Calibri"/>
          <w:snapToGrid w:val="0"/>
          <w:sz w:val="22"/>
        </w:rPr>
        <w:t>Service</w:t>
      </w:r>
      <w:r w:rsidRPr="00AD4590">
        <w:rPr>
          <w:rFonts w:cs="Calibri"/>
          <w:snapToGrid w:val="0"/>
          <w:sz w:val="22"/>
        </w:rPr>
        <w:t xml:space="preserve">, and records their Blue Card details. </w:t>
      </w:r>
      <w:r w:rsidRPr="00AD4590">
        <w:rPr>
          <w:snapToGrid w:val="0"/>
          <w:sz w:val="22"/>
        </w:rPr>
        <w:t xml:space="preserve">Students and volunteers are informed that it is an offence not to notify the </w:t>
      </w:r>
      <w:r w:rsidR="00F55E08" w:rsidRPr="00AD4590">
        <w:rPr>
          <w:snapToGrid w:val="0"/>
          <w:sz w:val="22"/>
        </w:rPr>
        <w:t>Service</w:t>
      </w:r>
      <w:r w:rsidRPr="00AD4590">
        <w:rPr>
          <w:snapToGrid w:val="0"/>
          <w:sz w:val="22"/>
        </w:rPr>
        <w:t xml:space="preserve"> of any change in the criminal history or police information they have previously provided to the </w:t>
      </w:r>
      <w:r w:rsidR="0099617F">
        <w:rPr>
          <w:snapToGrid w:val="0"/>
          <w:sz w:val="22"/>
        </w:rPr>
        <w:t xml:space="preserve">Blue Card Services when </w:t>
      </w:r>
      <w:r w:rsidRPr="00AD4590">
        <w:rPr>
          <w:snapToGrid w:val="0"/>
          <w:sz w:val="22"/>
        </w:rPr>
        <w:t xml:space="preserve">obtaining their card.  </w:t>
      </w:r>
    </w:p>
    <w:p w:rsidR="003C3C29" w:rsidRPr="00AD4590" w:rsidRDefault="003C3C29" w:rsidP="003C3C2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</w:rPr>
      </w:pPr>
    </w:p>
    <w:p w:rsidR="003C3C29" w:rsidRPr="00AD4590" w:rsidRDefault="003C3C29" w:rsidP="003C3C29">
      <w:pPr>
        <w:numPr>
          <w:ilvl w:val="0"/>
          <w:numId w:val="27"/>
        </w:numPr>
        <w:spacing w:before="60" w:after="60"/>
        <w:jc w:val="both"/>
        <w:rPr>
          <w:snapToGrid w:val="0"/>
          <w:sz w:val="22"/>
        </w:rPr>
      </w:pPr>
      <w:r w:rsidRPr="00AD4590">
        <w:rPr>
          <w:rFonts w:cs="Arial"/>
          <w:sz w:val="22"/>
        </w:rPr>
        <w:t xml:space="preserve">The </w:t>
      </w:r>
      <w:r w:rsidR="00F55E08" w:rsidRPr="00AD4590">
        <w:rPr>
          <w:snapToGrid w:val="0"/>
          <w:sz w:val="22"/>
        </w:rPr>
        <w:t>Service</w:t>
      </w:r>
      <w:r w:rsidRPr="00AD4590">
        <w:rPr>
          <w:snapToGrid w:val="0"/>
          <w:sz w:val="22"/>
        </w:rPr>
        <w:t xml:space="preserve"> provides educators with ongoing professional development </w:t>
      </w:r>
      <w:r w:rsidR="00934AE6" w:rsidRPr="00AD4590">
        <w:rPr>
          <w:snapToGrid w:val="0"/>
          <w:sz w:val="22"/>
        </w:rPr>
        <w:t xml:space="preserve">in </w:t>
      </w:r>
      <w:r w:rsidRPr="00AD4590">
        <w:rPr>
          <w:snapToGrid w:val="0"/>
          <w:sz w:val="22"/>
        </w:rPr>
        <w:t xml:space="preserve">child protection, and the topic is regularly discussed in team meetings. </w:t>
      </w:r>
      <w:r w:rsidR="003106F6">
        <w:rPr>
          <w:snapToGrid w:val="0"/>
          <w:sz w:val="22"/>
        </w:rPr>
        <w:t xml:space="preserve">Staff have attended NAPCAN information sessions and keep up to date with any changes online. </w:t>
      </w:r>
      <w:proofErr w:type="spellStart"/>
      <w:r w:rsidR="003106F6">
        <w:rPr>
          <w:snapToGrid w:val="0"/>
          <w:sz w:val="22"/>
        </w:rPr>
        <w:t>Bravehearts</w:t>
      </w:r>
      <w:proofErr w:type="spellEnd"/>
      <w:r w:rsidR="003106F6">
        <w:rPr>
          <w:snapToGrid w:val="0"/>
          <w:sz w:val="22"/>
        </w:rPr>
        <w:t xml:space="preserve"> presents a show for the children every year </w:t>
      </w:r>
      <w:proofErr w:type="gramStart"/>
      <w:r w:rsidR="003106F6">
        <w:rPr>
          <w:snapToGrid w:val="0"/>
          <w:sz w:val="22"/>
        </w:rPr>
        <w:t>in regards to</w:t>
      </w:r>
      <w:proofErr w:type="gramEnd"/>
      <w:r w:rsidR="003106F6">
        <w:rPr>
          <w:snapToGrid w:val="0"/>
          <w:sz w:val="22"/>
        </w:rPr>
        <w:t xml:space="preserve"> personal safety and provide support for parents online. The staff are </w:t>
      </w:r>
      <w:r w:rsidRPr="00AD4590">
        <w:rPr>
          <w:snapToGrid w:val="0"/>
          <w:sz w:val="22"/>
        </w:rPr>
        <w:t xml:space="preserve">provided </w:t>
      </w:r>
      <w:r w:rsidR="003106F6">
        <w:rPr>
          <w:snapToGrid w:val="0"/>
          <w:sz w:val="22"/>
        </w:rPr>
        <w:t xml:space="preserve">with information about </w:t>
      </w:r>
      <w:r w:rsidRPr="00AD4590">
        <w:rPr>
          <w:snapToGrid w:val="0"/>
          <w:sz w:val="22"/>
          <w:u w:val="single"/>
        </w:rPr>
        <w:t>Abuse – Types and Indicators</w:t>
      </w:r>
      <w:r w:rsidRPr="00AD4590">
        <w:rPr>
          <w:snapToGrid w:val="0"/>
          <w:sz w:val="22"/>
        </w:rPr>
        <w:t xml:space="preserve">. Training needs are documented in a </w:t>
      </w:r>
      <w:r w:rsidRPr="00AD4590">
        <w:rPr>
          <w:snapToGrid w:val="0"/>
          <w:sz w:val="22"/>
          <w:u w:val="single"/>
        </w:rPr>
        <w:t xml:space="preserve">Training and Study Record – </w:t>
      </w:r>
      <w:proofErr w:type="gramStart"/>
      <w:r w:rsidRPr="00AD4590">
        <w:rPr>
          <w:snapToGrid w:val="0"/>
          <w:sz w:val="22"/>
          <w:u w:val="single"/>
        </w:rPr>
        <w:t>Educator</w:t>
      </w:r>
      <w:r w:rsidRPr="00AD4590">
        <w:rPr>
          <w:snapToGrid w:val="0"/>
          <w:sz w:val="22"/>
        </w:rPr>
        <w:t>, and</w:t>
      </w:r>
      <w:proofErr w:type="gramEnd"/>
      <w:r w:rsidRPr="00AD4590">
        <w:rPr>
          <w:snapToGrid w:val="0"/>
          <w:sz w:val="22"/>
        </w:rPr>
        <w:t xml:space="preserve"> monitored. </w:t>
      </w:r>
    </w:p>
    <w:p w:rsidR="003C3C29" w:rsidRPr="00AD4590" w:rsidRDefault="003C3C29" w:rsidP="003C3C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napToGrid w:val="0"/>
          <w:sz w:val="22"/>
        </w:rPr>
      </w:pPr>
      <w:r w:rsidRPr="00AD4590">
        <w:rPr>
          <w:snapToGrid w:val="0"/>
          <w:sz w:val="22"/>
        </w:rPr>
        <w:t xml:space="preserve"> </w:t>
      </w:r>
    </w:p>
    <w:p w:rsidR="00580340" w:rsidRDefault="00580340" w:rsidP="002B66D5">
      <w:pPr>
        <w:numPr>
          <w:ilvl w:val="0"/>
          <w:numId w:val="27"/>
        </w:numPr>
        <w:spacing w:before="60" w:after="60"/>
        <w:jc w:val="both"/>
        <w:rPr>
          <w:rFonts w:asciiTheme="minorHAnsi" w:hAnsiTheme="minorHAnsi" w:cs="Arial"/>
          <w:sz w:val="22"/>
          <w:u w:val="single"/>
        </w:rPr>
      </w:pPr>
      <w:r w:rsidRPr="00AD4590">
        <w:rPr>
          <w:rFonts w:asciiTheme="minorHAnsi" w:hAnsiTheme="minorHAnsi" w:cs="Arial"/>
          <w:sz w:val="22"/>
        </w:rPr>
        <w:t xml:space="preserve">All children are observed on arrival and any injury recorded on the </w:t>
      </w:r>
      <w:r w:rsidRPr="00AD4590">
        <w:rPr>
          <w:rFonts w:asciiTheme="minorHAnsi" w:hAnsiTheme="minorHAnsi" w:cs="Arial"/>
          <w:sz w:val="22"/>
          <w:u w:val="single"/>
        </w:rPr>
        <w:t>I</w:t>
      </w:r>
      <w:r w:rsidR="00EF5A20">
        <w:rPr>
          <w:rFonts w:asciiTheme="minorHAnsi" w:hAnsiTheme="minorHAnsi" w:cs="Arial"/>
          <w:sz w:val="22"/>
          <w:u w:val="single"/>
        </w:rPr>
        <w:t>ncident on Intake</w:t>
      </w:r>
      <w:r w:rsidR="00EF5A20">
        <w:rPr>
          <w:rFonts w:asciiTheme="minorHAnsi" w:hAnsiTheme="minorHAnsi" w:cs="Arial"/>
          <w:sz w:val="22"/>
        </w:rPr>
        <w:t xml:space="preserve"> form</w:t>
      </w:r>
      <w:r w:rsidR="006F2E57">
        <w:rPr>
          <w:rFonts w:asciiTheme="minorHAnsi" w:hAnsiTheme="minorHAnsi" w:cs="Arial"/>
          <w:sz w:val="22"/>
          <w:u w:val="single"/>
        </w:rPr>
        <w:t xml:space="preserve"> </w:t>
      </w:r>
      <w:r w:rsidRPr="00AD4590">
        <w:rPr>
          <w:rFonts w:asciiTheme="minorHAnsi" w:hAnsiTheme="minorHAnsi" w:cs="Arial"/>
          <w:sz w:val="22"/>
          <w:u w:val="single"/>
        </w:rPr>
        <w:t xml:space="preserve"> </w:t>
      </w:r>
    </w:p>
    <w:p w:rsidR="005E5C2A" w:rsidRDefault="005E5C2A" w:rsidP="00D80E2A">
      <w:pPr>
        <w:spacing w:before="60" w:after="60"/>
        <w:ind w:left="1440"/>
        <w:jc w:val="both"/>
        <w:rPr>
          <w:rFonts w:ascii="Source Sans Pro" w:hAnsi="Source Sans Pro"/>
          <w:color w:val="333333"/>
          <w:sz w:val="21"/>
          <w:szCs w:val="21"/>
        </w:rPr>
      </w:pPr>
    </w:p>
    <w:p w:rsidR="003C3C29" w:rsidRPr="00D80E2A" w:rsidRDefault="003C3C29" w:rsidP="00D80E2A">
      <w:pPr>
        <w:numPr>
          <w:ilvl w:val="0"/>
          <w:numId w:val="27"/>
        </w:numPr>
        <w:spacing w:before="60" w:after="60"/>
        <w:jc w:val="both"/>
        <w:rPr>
          <w:rFonts w:cs="Arial"/>
          <w:sz w:val="22"/>
        </w:rPr>
      </w:pPr>
      <w:r w:rsidRPr="00D80E2A">
        <w:rPr>
          <w:rFonts w:cs="Arial"/>
          <w:sz w:val="22"/>
        </w:rPr>
        <w:t>Any suspicion</w:t>
      </w:r>
      <w:r w:rsidR="00E961C0">
        <w:rPr>
          <w:rFonts w:cs="Arial"/>
          <w:sz w:val="22"/>
        </w:rPr>
        <w:t xml:space="preserve"> or allegation </w:t>
      </w:r>
      <w:r w:rsidR="00CE68B6" w:rsidRPr="00D80E2A">
        <w:rPr>
          <w:rFonts w:cs="Arial"/>
          <w:sz w:val="22"/>
        </w:rPr>
        <w:t xml:space="preserve">that physical and/or sexual abuse of a child has occurred or is occurring while the child is being educated and cared for in the </w:t>
      </w:r>
      <w:r w:rsidR="005913A3">
        <w:rPr>
          <w:rFonts w:cs="Arial"/>
          <w:sz w:val="22"/>
        </w:rPr>
        <w:t>S</w:t>
      </w:r>
      <w:r w:rsidR="00CE68B6" w:rsidRPr="00D80E2A">
        <w:rPr>
          <w:rFonts w:cs="Arial"/>
          <w:sz w:val="22"/>
        </w:rPr>
        <w:t xml:space="preserve">ervice </w:t>
      </w:r>
      <w:r w:rsidRPr="00D80E2A">
        <w:rPr>
          <w:rFonts w:cs="Arial"/>
          <w:sz w:val="22"/>
        </w:rPr>
        <w:t>is to be immediately reported to the Nominated Supervisor.</w:t>
      </w:r>
      <w:bookmarkStart w:id="2" w:name="_Hlk503001154"/>
      <w:r w:rsidRPr="00D80E2A">
        <w:rPr>
          <w:rFonts w:cs="Arial"/>
          <w:sz w:val="22"/>
        </w:rPr>
        <w:t xml:space="preserve"> If the Nominated Supervisor is the subject of the </w:t>
      </w:r>
      <w:r w:rsidR="00E961C0">
        <w:rPr>
          <w:rFonts w:cs="Arial"/>
          <w:sz w:val="22"/>
        </w:rPr>
        <w:t xml:space="preserve">suspicion or allegation, </w:t>
      </w:r>
      <w:r w:rsidRPr="00D80E2A">
        <w:rPr>
          <w:rFonts w:cs="Arial"/>
          <w:sz w:val="22"/>
        </w:rPr>
        <w:t xml:space="preserve">the report </w:t>
      </w:r>
      <w:r w:rsidR="00E961C0">
        <w:rPr>
          <w:rFonts w:cs="Arial"/>
          <w:sz w:val="22"/>
        </w:rPr>
        <w:t xml:space="preserve">is to be made </w:t>
      </w:r>
      <w:r w:rsidRPr="00D80E2A">
        <w:rPr>
          <w:rFonts w:cs="Arial"/>
          <w:sz w:val="22"/>
        </w:rPr>
        <w:t>to the Approved Provider or directly to the Regulatory Authority. The</w:t>
      </w:r>
      <w:r w:rsidR="00EF5A20">
        <w:rPr>
          <w:rFonts w:cs="Arial"/>
          <w:sz w:val="22"/>
        </w:rPr>
        <w:t xml:space="preserve"> Educator/</w:t>
      </w:r>
      <w:r w:rsidRPr="00D80E2A">
        <w:rPr>
          <w:rFonts w:cs="Arial"/>
          <w:sz w:val="22"/>
        </w:rPr>
        <w:t xml:space="preserve"> Nominated Supervisor/Approved Provider will report the incident to the Regulatory Authority. Reasonable grounds for suspecting harm include:</w:t>
      </w:r>
    </w:p>
    <w:bookmarkEnd w:id="2"/>
    <w:p w:rsidR="003C3C29" w:rsidRPr="00AD4590" w:rsidRDefault="003C3C29" w:rsidP="003C3C29">
      <w:pPr>
        <w:numPr>
          <w:ilvl w:val="1"/>
          <w:numId w:val="27"/>
        </w:numPr>
        <w:spacing w:before="60" w:after="60"/>
        <w:jc w:val="left"/>
        <w:rPr>
          <w:rFonts w:cs="Arial"/>
          <w:sz w:val="22"/>
        </w:rPr>
      </w:pPr>
      <w:r w:rsidRPr="00AD4590">
        <w:rPr>
          <w:rFonts w:cs="Arial"/>
          <w:sz w:val="22"/>
        </w:rPr>
        <w:t xml:space="preserve">You witness the </w:t>
      </w:r>
      <w:r w:rsidRPr="00AD4590">
        <w:rPr>
          <w:rFonts w:cs="Calibri"/>
          <w:sz w:val="22"/>
        </w:rPr>
        <w:t>harm</w:t>
      </w:r>
      <w:r w:rsidRPr="00AD4590">
        <w:rPr>
          <w:rFonts w:cs="Arial"/>
          <w:sz w:val="22"/>
        </w:rPr>
        <w:t xml:space="preserve"> </w:t>
      </w:r>
    </w:p>
    <w:p w:rsidR="003C3C29" w:rsidRPr="00AD4590" w:rsidRDefault="003C3C29" w:rsidP="003C3C29">
      <w:pPr>
        <w:numPr>
          <w:ilvl w:val="1"/>
          <w:numId w:val="27"/>
        </w:numPr>
        <w:spacing w:before="60" w:after="60"/>
        <w:jc w:val="left"/>
        <w:rPr>
          <w:rFonts w:cs="Arial"/>
          <w:sz w:val="22"/>
        </w:rPr>
      </w:pPr>
      <w:r w:rsidRPr="00AD4590">
        <w:rPr>
          <w:rFonts w:cs="Arial"/>
          <w:sz w:val="22"/>
        </w:rPr>
        <w:t xml:space="preserve">A child tells you they have been harmed by someone at the </w:t>
      </w:r>
      <w:r w:rsidR="00F55E08" w:rsidRPr="00AD4590">
        <w:rPr>
          <w:rFonts w:cs="Arial"/>
          <w:sz w:val="22"/>
        </w:rPr>
        <w:t>Service</w:t>
      </w:r>
      <w:r w:rsidRPr="00AD4590">
        <w:rPr>
          <w:rFonts w:cs="Arial"/>
          <w:sz w:val="22"/>
        </w:rPr>
        <w:t xml:space="preserve"> </w:t>
      </w:r>
    </w:p>
    <w:p w:rsidR="003C3C29" w:rsidRPr="00AD4590" w:rsidRDefault="003C3C29" w:rsidP="003C3C29">
      <w:pPr>
        <w:numPr>
          <w:ilvl w:val="1"/>
          <w:numId w:val="27"/>
        </w:numPr>
        <w:spacing w:before="60" w:after="60"/>
        <w:jc w:val="left"/>
        <w:rPr>
          <w:rFonts w:cs="Calibri"/>
          <w:sz w:val="22"/>
        </w:rPr>
      </w:pPr>
      <w:r w:rsidRPr="00AD4590">
        <w:rPr>
          <w:rFonts w:cs="Calibri"/>
          <w:sz w:val="22"/>
        </w:rPr>
        <w:t xml:space="preserve">Someone else (e.g. another child, staff member, parent, outside person) tells you that a child has been harmed by a person at the </w:t>
      </w:r>
      <w:r w:rsidR="00F55E08" w:rsidRPr="00AD4590">
        <w:rPr>
          <w:rFonts w:cs="Calibri"/>
          <w:sz w:val="22"/>
        </w:rPr>
        <w:t>Service</w:t>
      </w:r>
      <w:r w:rsidRPr="00AD4590">
        <w:rPr>
          <w:rFonts w:cs="Calibri"/>
          <w:sz w:val="22"/>
        </w:rPr>
        <w:t xml:space="preserve">. </w:t>
      </w:r>
    </w:p>
    <w:p w:rsidR="003C3C29" w:rsidRPr="00AD4590" w:rsidRDefault="003C3C29" w:rsidP="003C3C29">
      <w:pPr>
        <w:spacing w:before="60" w:after="60"/>
        <w:ind w:left="1080"/>
        <w:jc w:val="left"/>
        <w:rPr>
          <w:rFonts w:cs="Calibri"/>
          <w:color w:val="008000"/>
          <w:sz w:val="22"/>
        </w:rPr>
      </w:pPr>
    </w:p>
    <w:p w:rsidR="00EA16C4" w:rsidRPr="00D80E2A" w:rsidRDefault="00D80E2A" w:rsidP="00EA16C4">
      <w:pPr>
        <w:numPr>
          <w:ilvl w:val="0"/>
          <w:numId w:val="27"/>
        </w:numPr>
        <w:spacing w:before="60" w:after="60"/>
        <w:jc w:val="both"/>
        <w:rPr>
          <w:rFonts w:cs="Arial"/>
          <w:sz w:val="22"/>
        </w:rPr>
      </w:pPr>
      <w:r w:rsidRPr="00C21B9F">
        <w:rPr>
          <w:rFonts w:asciiTheme="minorHAnsi" w:hAnsiTheme="minorHAnsi" w:cs="Arial"/>
          <w:sz w:val="22"/>
        </w:rPr>
        <w:t>In the event of a child exhibiting sexualised behaviour beyond that considered by educators to be age-appropriate and not-unexpected</w:t>
      </w:r>
      <w:r>
        <w:rPr>
          <w:rFonts w:asciiTheme="minorHAnsi" w:hAnsiTheme="minorHAnsi" w:cs="Arial"/>
          <w:sz w:val="22"/>
        </w:rPr>
        <w:t xml:space="preserve">, </w:t>
      </w:r>
      <w:r w:rsidRPr="00C21B9F">
        <w:rPr>
          <w:rFonts w:asciiTheme="minorHAnsi" w:hAnsiTheme="minorHAnsi" w:cs="Arial"/>
          <w:sz w:val="22"/>
        </w:rPr>
        <w:t>the matter is to be reported to the Nominated Supervisor who will, in turn, report the concern directly to the Regulatory Authority.</w:t>
      </w:r>
    </w:p>
    <w:p w:rsidR="00D80E2A" w:rsidRPr="00C21B9F" w:rsidRDefault="00D80E2A" w:rsidP="00D80E2A">
      <w:pPr>
        <w:spacing w:before="60" w:after="60"/>
        <w:ind w:left="720"/>
        <w:jc w:val="both"/>
        <w:rPr>
          <w:rFonts w:cs="Arial"/>
          <w:sz w:val="22"/>
        </w:rPr>
      </w:pPr>
    </w:p>
    <w:p w:rsidR="003C3C29" w:rsidRPr="00AD4590" w:rsidRDefault="003C3C29" w:rsidP="003C3C29">
      <w:pPr>
        <w:widowControl w:val="0"/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2"/>
        </w:rPr>
      </w:pPr>
      <w:r w:rsidRPr="00AD4590">
        <w:rPr>
          <w:snapToGrid w:val="0"/>
          <w:sz w:val="22"/>
        </w:rPr>
        <w:t xml:space="preserve">The </w:t>
      </w:r>
      <w:r w:rsidR="00F55E08" w:rsidRPr="00AD4590">
        <w:rPr>
          <w:snapToGrid w:val="0"/>
          <w:sz w:val="22"/>
        </w:rPr>
        <w:t>Service</w:t>
      </w:r>
      <w:r w:rsidRPr="00AD4590">
        <w:rPr>
          <w:snapToGrid w:val="0"/>
          <w:sz w:val="22"/>
        </w:rPr>
        <w:t xml:space="preserve"> has developed </w:t>
      </w:r>
      <w:r w:rsidRPr="00AD4590">
        <w:rPr>
          <w:snapToGrid w:val="0"/>
          <w:sz w:val="22"/>
          <w:u w:val="single"/>
        </w:rPr>
        <w:t>Harm – Guidelines for Handling Disclosure</w:t>
      </w:r>
      <w:r w:rsidRPr="00AD4590">
        <w:rPr>
          <w:snapToGrid w:val="0"/>
          <w:sz w:val="22"/>
        </w:rPr>
        <w:t xml:space="preserve"> to help staff, educators, students and volunteers, when faced with a disclosure from a child, to respond professionally and in the best interests of the child. Any disclosure of harm must be immediately reported to the Nominated Supervisor who will ensure that correct procedures are followed. </w:t>
      </w:r>
    </w:p>
    <w:p w:rsidR="003C3C29" w:rsidRPr="00AD4590" w:rsidRDefault="003C3C29" w:rsidP="003C3C2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2"/>
        </w:rPr>
      </w:pPr>
    </w:p>
    <w:p w:rsidR="003C3C29" w:rsidRPr="00AD4590" w:rsidRDefault="003C3C29" w:rsidP="003C3C29">
      <w:pPr>
        <w:numPr>
          <w:ilvl w:val="0"/>
          <w:numId w:val="27"/>
        </w:numPr>
        <w:spacing w:before="60" w:after="60"/>
        <w:jc w:val="both"/>
        <w:rPr>
          <w:rFonts w:cs="Arial"/>
          <w:sz w:val="22"/>
        </w:rPr>
      </w:pPr>
      <w:r w:rsidRPr="00AD4590">
        <w:rPr>
          <w:snapToGrid w:val="0"/>
          <w:sz w:val="22"/>
        </w:rPr>
        <w:t xml:space="preserve">Staff who suspect that a child may be experiencing harm or neglect when not at the </w:t>
      </w:r>
      <w:r w:rsidR="00F55E08" w:rsidRPr="00AD4590">
        <w:rPr>
          <w:snapToGrid w:val="0"/>
          <w:sz w:val="22"/>
        </w:rPr>
        <w:t>Service</w:t>
      </w:r>
      <w:r w:rsidRPr="00AD4590">
        <w:rPr>
          <w:snapToGrid w:val="0"/>
          <w:sz w:val="22"/>
        </w:rPr>
        <w:t xml:space="preserve"> are to follow the </w:t>
      </w:r>
      <w:r w:rsidRPr="00AD4590">
        <w:rPr>
          <w:snapToGrid w:val="0"/>
          <w:sz w:val="22"/>
          <w:u w:val="single"/>
        </w:rPr>
        <w:t>Harm – Guidelines for Handling Suspicion.</w:t>
      </w:r>
      <w:r w:rsidRPr="00AD4590">
        <w:rPr>
          <w:snapToGrid w:val="0"/>
          <w:sz w:val="22"/>
        </w:rPr>
        <w:t xml:space="preserve"> These Guidelines include immediately informing the Nominated Supervisor, completing an </w:t>
      </w:r>
      <w:r w:rsidRPr="00AD4590">
        <w:rPr>
          <w:snapToGrid w:val="0"/>
          <w:sz w:val="22"/>
          <w:u w:val="single"/>
        </w:rPr>
        <w:t>Expression of Concern Form</w:t>
      </w:r>
      <w:r w:rsidRPr="00AD4590">
        <w:rPr>
          <w:snapToGrid w:val="0"/>
          <w:sz w:val="22"/>
        </w:rPr>
        <w:t xml:space="preserve">, and maintaining confidentiality as detailed in the </w:t>
      </w:r>
      <w:r w:rsidR="00F55E08" w:rsidRPr="00AD4590">
        <w:rPr>
          <w:snapToGrid w:val="0"/>
          <w:sz w:val="22"/>
        </w:rPr>
        <w:t>Service</w:t>
      </w:r>
      <w:r w:rsidRPr="00AD4590">
        <w:rPr>
          <w:snapToGrid w:val="0"/>
          <w:sz w:val="22"/>
        </w:rPr>
        <w:t xml:space="preserve">’s </w:t>
      </w:r>
      <w:r w:rsidRPr="00AD4590">
        <w:rPr>
          <w:snapToGrid w:val="0"/>
          <w:sz w:val="22"/>
          <w:u w:val="single"/>
        </w:rPr>
        <w:t>Confidentiality Agreement</w:t>
      </w:r>
      <w:r w:rsidRPr="00AD4590">
        <w:rPr>
          <w:snapToGrid w:val="0"/>
          <w:sz w:val="22"/>
        </w:rPr>
        <w:t xml:space="preserve">. </w:t>
      </w:r>
    </w:p>
    <w:p w:rsidR="003C3C29" w:rsidRPr="00AD4590" w:rsidRDefault="003C3C29" w:rsidP="003C3C29">
      <w:pPr>
        <w:spacing w:before="60" w:after="60"/>
        <w:jc w:val="both"/>
        <w:rPr>
          <w:rFonts w:cs="Arial"/>
          <w:sz w:val="22"/>
        </w:rPr>
      </w:pPr>
    </w:p>
    <w:p w:rsidR="003C3C29" w:rsidRPr="00AD4590" w:rsidRDefault="003C3C29" w:rsidP="003C3C29">
      <w:pPr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</w:rPr>
      </w:pPr>
      <w:r w:rsidRPr="00AD4590">
        <w:rPr>
          <w:snapToGrid w:val="0"/>
          <w:sz w:val="22"/>
        </w:rPr>
        <w:t xml:space="preserve">Educators intentionally teach children </w:t>
      </w:r>
      <w:r w:rsidRPr="00AD4590">
        <w:rPr>
          <w:snapToGrid w:val="0"/>
          <w:sz w:val="22"/>
          <w:u w:val="single"/>
        </w:rPr>
        <w:t xml:space="preserve">Protective </w:t>
      </w:r>
      <w:proofErr w:type="gramStart"/>
      <w:r w:rsidRPr="00AD4590">
        <w:rPr>
          <w:snapToGrid w:val="0"/>
          <w:sz w:val="22"/>
          <w:u w:val="single"/>
        </w:rPr>
        <w:t>Behaviours</w:t>
      </w:r>
      <w:r w:rsidRPr="00AD4590">
        <w:rPr>
          <w:snapToGrid w:val="0"/>
          <w:sz w:val="22"/>
        </w:rPr>
        <w:t>, a</w:t>
      </w:r>
      <w:r w:rsidR="00EF5A20">
        <w:rPr>
          <w:snapToGrid w:val="0"/>
          <w:sz w:val="22"/>
        </w:rPr>
        <w:t>nd</w:t>
      </w:r>
      <w:proofErr w:type="gramEnd"/>
      <w:r w:rsidR="00EF5A20">
        <w:rPr>
          <w:snapToGrid w:val="0"/>
          <w:sz w:val="22"/>
        </w:rPr>
        <w:t xml:space="preserve"> advise</w:t>
      </w:r>
      <w:r w:rsidRPr="00AD4590">
        <w:rPr>
          <w:snapToGrid w:val="0"/>
          <w:sz w:val="22"/>
        </w:rPr>
        <w:t xml:space="preserve"> parents. </w:t>
      </w:r>
    </w:p>
    <w:p w:rsidR="003C3C29" w:rsidRPr="00AD4590" w:rsidRDefault="003C3C29" w:rsidP="003C3C2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napToGrid w:val="0"/>
          <w:sz w:val="22"/>
        </w:rPr>
      </w:pPr>
    </w:p>
    <w:p w:rsidR="003C3C29" w:rsidRPr="00AD4590" w:rsidRDefault="003C3C29" w:rsidP="003C3C29">
      <w:pPr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</w:rPr>
      </w:pPr>
      <w:r w:rsidRPr="00AD4590">
        <w:rPr>
          <w:sz w:val="22"/>
        </w:rPr>
        <w:t xml:space="preserve">The </w:t>
      </w:r>
      <w:r w:rsidR="00F55E08" w:rsidRPr="00AD4590">
        <w:rPr>
          <w:sz w:val="22"/>
        </w:rPr>
        <w:t>Service</w:t>
      </w:r>
      <w:r w:rsidRPr="00AD4590">
        <w:rPr>
          <w:sz w:val="22"/>
        </w:rPr>
        <w:t xml:space="preserve"> involves staff, educators and parents when compiling the </w:t>
      </w:r>
      <w:r w:rsidRPr="00AD4590">
        <w:rPr>
          <w:sz w:val="22"/>
          <w:u w:val="single"/>
        </w:rPr>
        <w:t>Risk Management Plan for High Risk Activity or Special Event.</w:t>
      </w:r>
      <w:r w:rsidRPr="00AD4590">
        <w:rPr>
          <w:sz w:val="22"/>
        </w:rPr>
        <w:t xml:space="preserve"> </w:t>
      </w:r>
    </w:p>
    <w:p w:rsidR="003C3C29" w:rsidRPr="00AD4590" w:rsidRDefault="003C3C29" w:rsidP="003C3C2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napToGrid w:val="0"/>
          <w:sz w:val="22"/>
        </w:rPr>
      </w:pPr>
    </w:p>
    <w:p w:rsidR="003C3C29" w:rsidRPr="00AD4590" w:rsidRDefault="003C3C29" w:rsidP="003C3C29">
      <w:pPr>
        <w:widowControl w:val="0"/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</w:rPr>
      </w:pPr>
      <w:r w:rsidRPr="00AD4590">
        <w:rPr>
          <w:snapToGrid w:val="0"/>
          <w:sz w:val="22"/>
        </w:rPr>
        <w:t xml:space="preserve">Any breach of this Child Protection and Risk Management Policy – action or inaction – will be investigated according to the </w:t>
      </w:r>
      <w:r w:rsidRPr="00AD4590">
        <w:rPr>
          <w:snapToGrid w:val="0"/>
          <w:sz w:val="22"/>
          <w:u w:val="single"/>
        </w:rPr>
        <w:t>Breach Management Plan</w:t>
      </w:r>
      <w:r w:rsidRPr="00AD4590">
        <w:rPr>
          <w:snapToGrid w:val="0"/>
          <w:sz w:val="22"/>
        </w:rPr>
        <w:t xml:space="preserve">. </w:t>
      </w:r>
    </w:p>
    <w:p w:rsidR="003C3C29" w:rsidRPr="00AD4590" w:rsidRDefault="003C3C29" w:rsidP="003C3C2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</w:rPr>
      </w:pPr>
    </w:p>
    <w:p w:rsidR="003C3C29" w:rsidRPr="00AD4590" w:rsidRDefault="003C3C29" w:rsidP="003C3C29">
      <w:pPr>
        <w:widowControl w:val="0"/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</w:rPr>
      </w:pPr>
      <w:r w:rsidRPr="00AD4590">
        <w:rPr>
          <w:snapToGrid w:val="0"/>
          <w:sz w:val="22"/>
        </w:rPr>
        <w:t xml:space="preserve">The </w:t>
      </w:r>
      <w:r w:rsidR="00F55E08" w:rsidRPr="00AD4590">
        <w:rPr>
          <w:snapToGrid w:val="0"/>
          <w:sz w:val="22"/>
        </w:rPr>
        <w:t>Service</w:t>
      </w:r>
      <w:r w:rsidRPr="00AD4590">
        <w:rPr>
          <w:snapToGrid w:val="0"/>
          <w:sz w:val="22"/>
        </w:rPr>
        <w:t xml:space="preserve">’s </w:t>
      </w:r>
      <w:r w:rsidRPr="00AD4590">
        <w:rPr>
          <w:i/>
          <w:snapToGrid w:val="0"/>
          <w:sz w:val="22"/>
        </w:rPr>
        <w:t>Child Protection and Risk Management Strategy Policy</w:t>
      </w:r>
      <w:r w:rsidRPr="00AD4590">
        <w:rPr>
          <w:snapToGrid w:val="0"/>
          <w:sz w:val="22"/>
        </w:rPr>
        <w:t xml:space="preserve"> is reviewed at least annually. As part of the annual review, a </w:t>
      </w:r>
      <w:r w:rsidRPr="00AD4590">
        <w:rPr>
          <w:snapToGrid w:val="0"/>
          <w:sz w:val="22"/>
          <w:u w:val="single"/>
        </w:rPr>
        <w:t>Child Protection and Risk Management Strategy – Survey</w:t>
      </w:r>
      <w:r w:rsidRPr="00AD4590">
        <w:rPr>
          <w:snapToGrid w:val="0"/>
          <w:sz w:val="22"/>
        </w:rPr>
        <w:t xml:space="preserve"> is distributed to staff, educators and parents for their contributions.    </w:t>
      </w:r>
    </w:p>
    <w:p w:rsidR="003C3C29" w:rsidRPr="00AD4590" w:rsidRDefault="003C3C29" w:rsidP="003C3C2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napToGrid w:val="0"/>
          <w:color w:val="FF0000"/>
          <w:sz w:val="22"/>
        </w:rPr>
      </w:pPr>
    </w:p>
    <w:p w:rsidR="003C3C29" w:rsidRPr="00AD4590" w:rsidRDefault="003C3C29" w:rsidP="003C3C29">
      <w:pPr>
        <w:pBdr>
          <w:bottom w:val="single" w:sz="4" w:space="1" w:color="auto"/>
        </w:pBdr>
        <w:jc w:val="left"/>
        <w:rPr>
          <w:b/>
          <w:sz w:val="22"/>
        </w:rPr>
      </w:pPr>
      <w:r w:rsidRPr="00AD4590">
        <w:rPr>
          <w:b/>
          <w:sz w:val="22"/>
        </w:rPr>
        <w:t xml:space="preserve">Additional safe practices for babies  </w:t>
      </w:r>
    </w:p>
    <w:p w:rsidR="003C3C29" w:rsidRPr="00AD4590" w:rsidRDefault="003C3C29" w:rsidP="003C3C29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3C3C29" w:rsidRPr="00AD4590" w:rsidRDefault="009A130E" w:rsidP="003C3C2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AD4590">
        <w:rPr>
          <w:rFonts w:cs="Arial"/>
          <w:sz w:val="22"/>
        </w:rPr>
        <w:t xml:space="preserve">No additional practices required. </w:t>
      </w:r>
    </w:p>
    <w:p w:rsidR="003C3C29" w:rsidRPr="00AD4590" w:rsidRDefault="003C3C29" w:rsidP="003C3C29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3C3C29" w:rsidRPr="00AD4590" w:rsidRDefault="003C3C29" w:rsidP="003C3C29">
      <w:pPr>
        <w:pBdr>
          <w:bottom w:val="single" w:sz="4" w:space="1" w:color="auto"/>
        </w:pBdr>
        <w:jc w:val="left"/>
        <w:rPr>
          <w:sz w:val="22"/>
        </w:rPr>
      </w:pPr>
      <w:r w:rsidRPr="00AD4590">
        <w:rPr>
          <w:b/>
          <w:sz w:val="22"/>
        </w:rPr>
        <w:t>Responsibilities of parents</w:t>
      </w:r>
    </w:p>
    <w:p w:rsidR="003C3C29" w:rsidRPr="00AD4590" w:rsidRDefault="003C3C29" w:rsidP="003C3C29">
      <w:pPr>
        <w:jc w:val="left"/>
        <w:rPr>
          <w:i/>
          <w:sz w:val="22"/>
        </w:rPr>
      </w:pPr>
    </w:p>
    <w:p w:rsidR="003C3C29" w:rsidRPr="00AD4590" w:rsidRDefault="003C3C29" w:rsidP="003C3C2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cs="ComicSansMS"/>
          <w:sz w:val="22"/>
          <w:lang w:eastAsia="en-AU"/>
        </w:rPr>
      </w:pPr>
      <w:r w:rsidRPr="00AD4590">
        <w:rPr>
          <w:rFonts w:cs="ComicSansMS"/>
          <w:sz w:val="22"/>
          <w:lang w:eastAsia="en-AU"/>
        </w:rPr>
        <w:t xml:space="preserve">To report any suspicion of harm to a child </w:t>
      </w:r>
      <w:r w:rsidRPr="00AD4590">
        <w:rPr>
          <w:rFonts w:cs="Calibri"/>
          <w:sz w:val="22"/>
          <w:lang w:eastAsia="en-AU"/>
        </w:rPr>
        <w:t xml:space="preserve">occurring at the </w:t>
      </w:r>
      <w:r w:rsidR="00F55E08" w:rsidRPr="00AD4590">
        <w:rPr>
          <w:rFonts w:cs="Calibri"/>
          <w:sz w:val="22"/>
          <w:lang w:eastAsia="en-AU"/>
        </w:rPr>
        <w:t>Service</w:t>
      </w:r>
      <w:r w:rsidRPr="00AD4590">
        <w:rPr>
          <w:rFonts w:cs="Calibri"/>
          <w:sz w:val="22"/>
          <w:lang w:eastAsia="en-AU"/>
        </w:rPr>
        <w:t xml:space="preserve"> to the Nominated Supervisor immediately. </w:t>
      </w:r>
    </w:p>
    <w:p w:rsidR="002608A8" w:rsidRPr="00AD4590" w:rsidRDefault="002608A8" w:rsidP="002608A8">
      <w:pPr>
        <w:pBdr>
          <w:bottom w:val="single" w:sz="4" w:space="1" w:color="auto"/>
        </w:pBdr>
        <w:jc w:val="both"/>
        <w:rPr>
          <w:sz w:val="22"/>
        </w:rPr>
      </w:pPr>
      <w:r w:rsidRPr="00AD4590">
        <w:rPr>
          <w:b/>
          <w:sz w:val="22"/>
        </w:rPr>
        <w:t xml:space="preserve">Procedure and </w:t>
      </w:r>
      <w:r w:rsidR="00106622" w:rsidRPr="00AD4590">
        <w:rPr>
          <w:b/>
          <w:sz w:val="22"/>
        </w:rPr>
        <w:t>f</w:t>
      </w:r>
      <w:r w:rsidRPr="00AD4590">
        <w:rPr>
          <w:b/>
          <w:sz w:val="22"/>
        </w:rPr>
        <w:t>orms</w:t>
      </w:r>
    </w:p>
    <w:p w:rsidR="002608A8" w:rsidRPr="00AD4590" w:rsidRDefault="002608A8" w:rsidP="002608A8">
      <w:pPr>
        <w:jc w:val="both"/>
        <w:rPr>
          <w:i/>
          <w:color w:val="FF0000"/>
          <w:sz w:val="22"/>
        </w:rPr>
      </w:pPr>
    </w:p>
    <w:p w:rsidR="002B654A" w:rsidRPr="00894683" w:rsidRDefault="002608A8" w:rsidP="00894683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2"/>
        </w:rPr>
      </w:pPr>
      <w:r w:rsidRPr="00AD4590">
        <w:rPr>
          <w:sz w:val="22"/>
        </w:rPr>
        <w:t>Abuse – Types and Indicators</w:t>
      </w:r>
    </w:p>
    <w:p w:rsidR="002608A8" w:rsidRDefault="002608A8" w:rsidP="002608A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Breach Management Plan</w:t>
      </w:r>
    </w:p>
    <w:p w:rsidR="002608A8" w:rsidRDefault="002608A8" w:rsidP="002608A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 xml:space="preserve">Child Protection and Risk Management Strategy – Survey </w:t>
      </w:r>
    </w:p>
    <w:p w:rsidR="002608A8" w:rsidRDefault="002608A8" w:rsidP="002608A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Child Protection Staff Acknowledgement Form</w:t>
      </w:r>
    </w:p>
    <w:p w:rsidR="002608A8" w:rsidRDefault="002608A8" w:rsidP="002608A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Code of Conduct – Child Protection</w:t>
      </w:r>
    </w:p>
    <w:p w:rsidR="002608A8" w:rsidRDefault="002608A8" w:rsidP="002608A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Confidentiality Agreement</w:t>
      </w:r>
    </w:p>
    <w:p w:rsidR="002608A8" w:rsidRDefault="002608A8" w:rsidP="002608A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Expression of Concern Form</w:t>
      </w:r>
    </w:p>
    <w:p w:rsidR="002608A8" w:rsidRDefault="002608A8" w:rsidP="002608A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Harm – Guidelines for Handling Disclosure</w:t>
      </w:r>
    </w:p>
    <w:p w:rsidR="002608A8" w:rsidRDefault="002608A8" w:rsidP="002608A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Harm – Guidelines for Handling Suspicion</w:t>
      </w:r>
    </w:p>
    <w:p w:rsidR="00D46E46" w:rsidRPr="00D80E2A" w:rsidRDefault="00D46E46" w:rsidP="00D46E46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="Arial"/>
          <w:sz w:val="22"/>
        </w:rPr>
      </w:pPr>
      <w:r w:rsidRPr="00D80E2A">
        <w:rPr>
          <w:rFonts w:asciiTheme="minorHAnsi" w:hAnsiTheme="minorHAnsi" w:cs="Arial"/>
          <w:sz w:val="22"/>
        </w:rPr>
        <w:t>In</w:t>
      </w:r>
      <w:r w:rsidR="00894683">
        <w:rPr>
          <w:rFonts w:asciiTheme="minorHAnsi" w:hAnsiTheme="minorHAnsi" w:cs="Arial"/>
          <w:sz w:val="22"/>
        </w:rPr>
        <w:t>cident on Intake</w:t>
      </w:r>
    </w:p>
    <w:p w:rsidR="002608A8" w:rsidRDefault="002608A8" w:rsidP="002608A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Protective Behaviours</w:t>
      </w:r>
    </w:p>
    <w:p w:rsidR="002608A8" w:rsidRDefault="002608A8" w:rsidP="002608A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Risk Management Plan for High Risk Activit</w:t>
      </w:r>
      <w:r w:rsidR="00487CCF">
        <w:rPr>
          <w:sz w:val="22"/>
        </w:rPr>
        <w:t>y</w:t>
      </w:r>
      <w:r>
        <w:rPr>
          <w:sz w:val="22"/>
        </w:rPr>
        <w:t xml:space="preserve"> or Special Event</w:t>
      </w:r>
    </w:p>
    <w:p w:rsidR="0040650E" w:rsidRDefault="0040650E" w:rsidP="0040650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Staff Summary Sheet</w:t>
      </w:r>
    </w:p>
    <w:p w:rsidR="002608A8" w:rsidRDefault="002608A8" w:rsidP="002608A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Statement of Commitment</w:t>
      </w:r>
    </w:p>
    <w:p w:rsidR="002608A8" w:rsidRPr="0040650E" w:rsidRDefault="002608A8" w:rsidP="002608A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 xml:space="preserve">Training and Study Record – Educator </w:t>
      </w:r>
    </w:p>
    <w:p w:rsidR="002608A8" w:rsidRDefault="002608A8" w:rsidP="003C3C29">
      <w:pPr>
        <w:pBdr>
          <w:bottom w:val="single" w:sz="4" w:space="1" w:color="auto"/>
        </w:pBdr>
        <w:jc w:val="left"/>
        <w:rPr>
          <w:b/>
          <w:sz w:val="22"/>
        </w:rPr>
      </w:pPr>
    </w:p>
    <w:p w:rsidR="003C3C29" w:rsidRPr="003C3C29" w:rsidRDefault="003C3C29" w:rsidP="003C3C29">
      <w:pPr>
        <w:pBdr>
          <w:bottom w:val="single" w:sz="4" w:space="1" w:color="auto"/>
        </w:pBdr>
        <w:jc w:val="left"/>
        <w:rPr>
          <w:b/>
          <w:sz w:val="22"/>
        </w:rPr>
      </w:pPr>
      <w:r w:rsidRPr="003C3C29">
        <w:rPr>
          <w:b/>
          <w:sz w:val="22"/>
        </w:rPr>
        <w:t>Links to other policies</w:t>
      </w:r>
    </w:p>
    <w:p w:rsidR="003C3C29" w:rsidRPr="003C3C29" w:rsidRDefault="003C3C29" w:rsidP="003C3C29">
      <w:pPr>
        <w:jc w:val="left"/>
        <w:rPr>
          <w:sz w:val="22"/>
        </w:rPr>
      </w:pPr>
    </w:p>
    <w:p w:rsidR="003C3C29" w:rsidRPr="003C3C29" w:rsidRDefault="003C3C29" w:rsidP="003C3C29">
      <w:pPr>
        <w:numPr>
          <w:ilvl w:val="0"/>
          <w:numId w:val="15"/>
        </w:numPr>
        <w:jc w:val="left"/>
        <w:rPr>
          <w:sz w:val="22"/>
        </w:rPr>
      </w:pPr>
      <w:r w:rsidRPr="003C3C29">
        <w:rPr>
          <w:sz w:val="22"/>
        </w:rPr>
        <w:t>Educator Professionalism and Ethics Policy</w:t>
      </w:r>
    </w:p>
    <w:p w:rsidR="003C3C29" w:rsidRPr="003C3C29" w:rsidRDefault="003C3C29" w:rsidP="003C3C29">
      <w:pPr>
        <w:numPr>
          <w:ilvl w:val="0"/>
          <w:numId w:val="15"/>
        </w:numPr>
        <w:jc w:val="left"/>
        <w:rPr>
          <w:sz w:val="22"/>
        </w:rPr>
      </w:pPr>
      <w:r w:rsidRPr="003C3C29">
        <w:rPr>
          <w:sz w:val="22"/>
        </w:rPr>
        <w:t>Privacy and Confidentiality Policy</w:t>
      </w:r>
    </w:p>
    <w:p w:rsidR="003C3C29" w:rsidRPr="003C3C29" w:rsidRDefault="003C3C29" w:rsidP="003C3C29">
      <w:pPr>
        <w:numPr>
          <w:ilvl w:val="0"/>
          <w:numId w:val="15"/>
        </w:numPr>
        <w:jc w:val="left"/>
        <w:rPr>
          <w:sz w:val="22"/>
        </w:rPr>
      </w:pPr>
      <w:r w:rsidRPr="003C3C29">
        <w:rPr>
          <w:sz w:val="22"/>
        </w:rPr>
        <w:t>Relationships with Children Policy</w:t>
      </w:r>
    </w:p>
    <w:p w:rsidR="003C3C29" w:rsidRPr="003C3C29" w:rsidRDefault="003C3C29" w:rsidP="003C3C29">
      <w:pPr>
        <w:numPr>
          <w:ilvl w:val="0"/>
          <w:numId w:val="15"/>
        </w:numPr>
        <w:jc w:val="left"/>
        <w:rPr>
          <w:sz w:val="22"/>
        </w:rPr>
      </w:pPr>
      <w:r w:rsidRPr="003C3C29">
        <w:rPr>
          <w:sz w:val="22"/>
        </w:rPr>
        <w:t>Staffing Policy</w:t>
      </w:r>
    </w:p>
    <w:p w:rsidR="003C3C29" w:rsidRPr="003C3C29" w:rsidRDefault="003C3C29" w:rsidP="003C3C29">
      <w:pPr>
        <w:numPr>
          <w:ilvl w:val="0"/>
          <w:numId w:val="15"/>
        </w:numPr>
        <w:jc w:val="left"/>
        <w:rPr>
          <w:sz w:val="22"/>
        </w:rPr>
      </w:pPr>
      <w:r w:rsidRPr="003C3C29">
        <w:rPr>
          <w:sz w:val="22"/>
        </w:rPr>
        <w:t>Students, Volunteers and Visitors Policy</w:t>
      </w:r>
    </w:p>
    <w:p w:rsidR="003C3C29" w:rsidRPr="003C3C29" w:rsidRDefault="003C3C29" w:rsidP="003C3C29">
      <w:pPr>
        <w:ind w:left="360"/>
        <w:jc w:val="left"/>
        <w:rPr>
          <w:sz w:val="22"/>
        </w:rPr>
      </w:pPr>
    </w:p>
    <w:p w:rsidR="003C3C29" w:rsidRPr="003C3C29" w:rsidRDefault="003C3C29" w:rsidP="003C3C29">
      <w:pPr>
        <w:pBdr>
          <w:bottom w:val="single" w:sz="4" w:space="1" w:color="auto"/>
        </w:pBdr>
        <w:jc w:val="both"/>
        <w:rPr>
          <w:b/>
          <w:sz w:val="22"/>
        </w:rPr>
      </w:pPr>
      <w:r w:rsidRPr="003C3C29">
        <w:rPr>
          <w:b/>
          <w:sz w:val="22"/>
        </w:rPr>
        <w:t xml:space="preserve">Links Education and Care </w:t>
      </w:r>
      <w:r w:rsidR="00CA5273">
        <w:rPr>
          <w:b/>
          <w:sz w:val="22"/>
        </w:rPr>
        <w:t>Services</w:t>
      </w:r>
      <w:r w:rsidRPr="003C3C29">
        <w:rPr>
          <w:b/>
          <w:sz w:val="22"/>
        </w:rPr>
        <w:t xml:space="preserve"> National Regulations 2011, National Quality Standard 2011</w:t>
      </w:r>
    </w:p>
    <w:p w:rsidR="003C3C29" w:rsidRPr="003C3C29" w:rsidRDefault="003C3C29" w:rsidP="003C3C29">
      <w:pPr>
        <w:jc w:val="both"/>
        <w:rPr>
          <w:rFonts w:cs="Arial"/>
          <w:bCs/>
          <w:sz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73"/>
        <w:gridCol w:w="822"/>
        <w:gridCol w:w="7361"/>
      </w:tblGrid>
      <w:tr w:rsidR="003C3C29" w:rsidRPr="003C3C29" w:rsidTr="008D4947">
        <w:tc>
          <w:tcPr>
            <w:tcW w:w="673" w:type="dxa"/>
          </w:tcPr>
          <w:p w:rsidR="003C3C29" w:rsidRPr="003C3C29" w:rsidRDefault="003C3C29" w:rsidP="003C3C29">
            <w:pPr>
              <w:jc w:val="left"/>
              <w:rPr>
                <w:rFonts w:cs="Calibri"/>
                <w:sz w:val="18"/>
                <w:szCs w:val="18"/>
              </w:rPr>
            </w:pPr>
            <w:r w:rsidRPr="003C3C29">
              <w:rPr>
                <w:rFonts w:cs="Calibri"/>
                <w:sz w:val="18"/>
                <w:szCs w:val="18"/>
              </w:rPr>
              <w:t>Regs</w:t>
            </w:r>
          </w:p>
        </w:tc>
        <w:tc>
          <w:tcPr>
            <w:tcW w:w="822" w:type="dxa"/>
          </w:tcPr>
          <w:p w:rsidR="003C3C29" w:rsidRPr="003C3C29" w:rsidRDefault="003C3C29" w:rsidP="003C3C29">
            <w:pPr>
              <w:jc w:val="left"/>
              <w:rPr>
                <w:rFonts w:cs="Calibri"/>
                <w:sz w:val="18"/>
                <w:szCs w:val="18"/>
              </w:rPr>
            </w:pPr>
            <w:r w:rsidRPr="003C3C29">
              <w:rPr>
                <w:rFonts w:cs="Calibri"/>
                <w:sz w:val="18"/>
                <w:szCs w:val="18"/>
              </w:rPr>
              <w:t>84</w:t>
            </w:r>
          </w:p>
        </w:tc>
        <w:tc>
          <w:tcPr>
            <w:tcW w:w="7361" w:type="dxa"/>
          </w:tcPr>
          <w:p w:rsidR="003C3C29" w:rsidRPr="003C3C29" w:rsidRDefault="003C3C29" w:rsidP="003C3C29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3C3C29">
              <w:rPr>
                <w:rFonts w:cs="Calibri"/>
                <w:color w:val="000000"/>
                <w:sz w:val="18"/>
                <w:szCs w:val="18"/>
              </w:rPr>
              <w:t>Awareness of child protection law</w:t>
            </w:r>
          </w:p>
        </w:tc>
      </w:tr>
    </w:tbl>
    <w:p w:rsidR="003C3C29" w:rsidRDefault="003C3C29" w:rsidP="003C3C29">
      <w:pPr>
        <w:jc w:val="both"/>
        <w:rPr>
          <w:rFonts w:cs="Arial"/>
          <w:bCs/>
          <w:sz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67"/>
        <w:gridCol w:w="822"/>
        <w:gridCol w:w="7367"/>
      </w:tblGrid>
      <w:tr w:rsidR="0061099E" w:rsidRPr="0061099E" w:rsidTr="00A66593">
        <w:tc>
          <w:tcPr>
            <w:tcW w:w="667" w:type="dxa"/>
          </w:tcPr>
          <w:p w:rsidR="0061099E" w:rsidRPr="00D80E2A" w:rsidRDefault="0061099E" w:rsidP="00A66593">
            <w:pPr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D80E2A">
              <w:rPr>
                <w:rFonts w:asciiTheme="minorHAnsi" w:hAnsiTheme="minorHAnsi" w:cs="Calibri"/>
                <w:sz w:val="18"/>
                <w:szCs w:val="18"/>
              </w:rPr>
              <w:t>QA</w:t>
            </w:r>
          </w:p>
        </w:tc>
        <w:tc>
          <w:tcPr>
            <w:tcW w:w="822" w:type="dxa"/>
          </w:tcPr>
          <w:p w:rsidR="0061099E" w:rsidRPr="00D80E2A" w:rsidRDefault="0061099E" w:rsidP="00A66593">
            <w:pPr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D80E2A">
              <w:rPr>
                <w:rFonts w:asciiTheme="minorHAnsi" w:hAnsiTheme="minorHAnsi" w:cs="Calibri"/>
                <w:sz w:val="18"/>
                <w:szCs w:val="18"/>
              </w:rPr>
              <w:t>2.</w:t>
            </w:r>
            <w:r w:rsidR="0004630D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Pr="00D80E2A">
              <w:rPr>
                <w:rFonts w:asciiTheme="minorHAnsi" w:hAnsiTheme="minorHAnsi" w:cs="Calibri"/>
                <w:sz w:val="18"/>
                <w:szCs w:val="18"/>
              </w:rPr>
              <w:t>.</w:t>
            </w:r>
            <w:r w:rsidR="0004630D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7367" w:type="dxa"/>
          </w:tcPr>
          <w:p w:rsidR="0061099E" w:rsidRPr="00D80E2A" w:rsidRDefault="0031284F" w:rsidP="00A66593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Management, educators and staff are aware of their roles and responsibilities to identify and respond to every child at risk of abuse or neglect.</w:t>
            </w:r>
            <w:r w:rsidR="0061099E" w:rsidRPr="00D80E2A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1099E" w:rsidRPr="0061099E" w:rsidTr="00A66593">
        <w:tc>
          <w:tcPr>
            <w:tcW w:w="667" w:type="dxa"/>
          </w:tcPr>
          <w:p w:rsidR="0061099E" w:rsidRPr="00D80E2A" w:rsidRDefault="0061099E" w:rsidP="00A66593">
            <w:pPr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61099E" w:rsidRPr="00D80E2A" w:rsidRDefault="0061099E" w:rsidP="00A66593">
            <w:pPr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D80E2A">
              <w:rPr>
                <w:rFonts w:asciiTheme="minorHAnsi" w:hAnsiTheme="minorHAnsi" w:cs="Calibri"/>
                <w:sz w:val="18"/>
                <w:szCs w:val="18"/>
              </w:rPr>
              <w:t>4.2.</w:t>
            </w:r>
            <w:r w:rsidR="0031284F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7367" w:type="dxa"/>
          </w:tcPr>
          <w:p w:rsidR="0061099E" w:rsidRPr="00D80E2A" w:rsidRDefault="0061099E" w:rsidP="00A66593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80E2A">
              <w:rPr>
                <w:rFonts w:asciiTheme="minorHAnsi" w:hAnsiTheme="minorHAnsi" w:cs="Calibri"/>
                <w:color w:val="000000"/>
                <w:sz w:val="18"/>
                <w:szCs w:val="18"/>
              </w:rPr>
              <w:t>Professional standards guide practice, interactions and relationships</w:t>
            </w:r>
          </w:p>
        </w:tc>
      </w:tr>
      <w:tr w:rsidR="0061099E" w:rsidRPr="0061099E" w:rsidTr="00A66593">
        <w:tc>
          <w:tcPr>
            <w:tcW w:w="667" w:type="dxa"/>
          </w:tcPr>
          <w:p w:rsidR="0061099E" w:rsidRPr="00D80E2A" w:rsidRDefault="0061099E" w:rsidP="00A66593">
            <w:pPr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61099E" w:rsidRPr="00D80E2A" w:rsidRDefault="0061099E" w:rsidP="00A66593">
            <w:pPr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D80E2A">
              <w:rPr>
                <w:rFonts w:asciiTheme="minorHAnsi" w:hAnsiTheme="minorHAnsi" w:cs="Calibri"/>
                <w:sz w:val="18"/>
                <w:szCs w:val="18"/>
              </w:rPr>
              <w:t>5.</w:t>
            </w:r>
            <w:r w:rsidR="0031284F">
              <w:rPr>
                <w:rFonts w:asciiTheme="minorHAnsi" w:hAnsiTheme="minorHAnsi" w:cs="Calibri"/>
                <w:sz w:val="18"/>
                <w:szCs w:val="18"/>
              </w:rPr>
              <w:t>1</w:t>
            </w:r>
            <w:r w:rsidRPr="00D80E2A">
              <w:rPr>
                <w:rFonts w:asciiTheme="minorHAnsi" w:hAnsiTheme="minorHAnsi" w:cs="Calibri"/>
                <w:sz w:val="18"/>
                <w:szCs w:val="18"/>
              </w:rPr>
              <w:t>.</w:t>
            </w:r>
            <w:r w:rsidR="0031284F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7367" w:type="dxa"/>
          </w:tcPr>
          <w:p w:rsidR="0061099E" w:rsidRPr="00D80E2A" w:rsidRDefault="0061099E" w:rsidP="00A66593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80E2A">
              <w:rPr>
                <w:rFonts w:asciiTheme="minorHAnsi" w:hAnsiTheme="minorHAnsi" w:cs="Calibri"/>
                <w:color w:val="000000"/>
                <w:sz w:val="18"/>
                <w:szCs w:val="18"/>
              </w:rPr>
              <w:t>The dignity and rights of every child are maintained</w:t>
            </w:r>
            <w:r w:rsidR="0031284F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</w:tc>
      </w:tr>
      <w:tr w:rsidR="0061099E" w:rsidRPr="0061099E" w:rsidTr="00A66593">
        <w:tc>
          <w:tcPr>
            <w:tcW w:w="667" w:type="dxa"/>
          </w:tcPr>
          <w:p w:rsidR="0061099E" w:rsidRPr="00D80E2A" w:rsidRDefault="0061099E" w:rsidP="00A66593">
            <w:pPr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61099E" w:rsidRPr="00D80E2A" w:rsidRDefault="0061099E" w:rsidP="00A66593">
            <w:pPr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D80E2A">
              <w:rPr>
                <w:rFonts w:asciiTheme="minorHAnsi" w:hAnsiTheme="minorHAnsi" w:cs="Calibri"/>
                <w:sz w:val="18"/>
                <w:szCs w:val="18"/>
              </w:rPr>
              <w:t>7.1.</w:t>
            </w:r>
            <w:r w:rsidR="007831D8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7367" w:type="dxa"/>
          </w:tcPr>
          <w:p w:rsidR="0061099E" w:rsidRPr="00D80E2A" w:rsidRDefault="007831D8" w:rsidP="00A66593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Roles and responsibilities</w:t>
            </w:r>
            <w:r w:rsidR="00144AF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are clearly defined, and understood, and support effective decision-making and operation of the service.</w:t>
            </w:r>
          </w:p>
        </w:tc>
      </w:tr>
      <w:tr w:rsidR="0061099E" w:rsidRPr="0061099E" w:rsidTr="00A66593">
        <w:tc>
          <w:tcPr>
            <w:tcW w:w="667" w:type="dxa"/>
          </w:tcPr>
          <w:p w:rsidR="0061099E" w:rsidRPr="00D80E2A" w:rsidRDefault="0061099E" w:rsidP="00A66593">
            <w:pPr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61099E" w:rsidRPr="00D80E2A" w:rsidRDefault="0061099E" w:rsidP="00A66593">
            <w:pPr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D80E2A">
              <w:rPr>
                <w:rFonts w:asciiTheme="minorHAnsi" w:hAnsiTheme="minorHAnsi" w:cs="Calibri"/>
                <w:sz w:val="18"/>
                <w:szCs w:val="18"/>
              </w:rPr>
              <w:t>7.2.</w:t>
            </w:r>
            <w:r w:rsidR="00144AF7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7367" w:type="dxa"/>
          </w:tcPr>
          <w:p w:rsidR="0061099E" w:rsidRPr="00D80E2A" w:rsidRDefault="00144AF7" w:rsidP="00A66593">
            <w:pPr>
              <w:autoSpaceDE w:val="0"/>
              <w:autoSpaceDN w:val="0"/>
              <w:adjustRightInd w:val="0"/>
              <w:spacing w:before="40" w:after="40" w:line="221" w:lineRule="atLeast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Educators, co-ordinators and staff members’ performance is regularly </w:t>
            </w:r>
            <w:proofErr w:type="gramStart"/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evaluated</w:t>
            </w:r>
            <w:proofErr w:type="gramEnd"/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and individual plans are in place to support learning and development.</w:t>
            </w:r>
          </w:p>
        </w:tc>
      </w:tr>
    </w:tbl>
    <w:p w:rsidR="0061099E" w:rsidRDefault="0061099E" w:rsidP="003C3C29">
      <w:pPr>
        <w:jc w:val="both"/>
        <w:rPr>
          <w:rFonts w:cs="Arial"/>
          <w:bCs/>
          <w:sz w:val="22"/>
        </w:rPr>
      </w:pPr>
    </w:p>
    <w:p w:rsidR="003C3C29" w:rsidRPr="003C3C29" w:rsidRDefault="003C3C29" w:rsidP="003C3C29">
      <w:pPr>
        <w:pBdr>
          <w:bottom w:val="single" w:sz="4" w:space="1" w:color="auto"/>
        </w:pBdr>
        <w:jc w:val="left"/>
        <w:rPr>
          <w:b/>
          <w:sz w:val="22"/>
        </w:rPr>
      </w:pPr>
    </w:p>
    <w:p w:rsidR="003C3C29" w:rsidRPr="003C3C29" w:rsidRDefault="003C3C29" w:rsidP="003C3C29">
      <w:pPr>
        <w:pBdr>
          <w:bottom w:val="single" w:sz="4" w:space="1" w:color="auto"/>
        </w:pBdr>
        <w:jc w:val="left"/>
        <w:rPr>
          <w:b/>
          <w:sz w:val="22"/>
        </w:rPr>
      </w:pPr>
      <w:r w:rsidRPr="003C3C29">
        <w:rPr>
          <w:b/>
          <w:sz w:val="22"/>
        </w:rPr>
        <w:t>Sources</w:t>
      </w:r>
    </w:p>
    <w:p w:rsidR="0022166B" w:rsidRDefault="0022166B" w:rsidP="0022166B">
      <w:pPr>
        <w:ind w:left="720"/>
        <w:jc w:val="left"/>
        <w:rPr>
          <w:sz w:val="22"/>
        </w:rPr>
      </w:pPr>
    </w:p>
    <w:p w:rsidR="003C3C29" w:rsidRPr="0004630D" w:rsidRDefault="005E5C2A" w:rsidP="0004630D">
      <w:pPr>
        <w:numPr>
          <w:ilvl w:val="0"/>
          <w:numId w:val="18"/>
        </w:numPr>
        <w:jc w:val="left"/>
        <w:rPr>
          <w:sz w:val="22"/>
        </w:rPr>
      </w:pPr>
      <w:r w:rsidRPr="00935085">
        <w:rPr>
          <w:sz w:val="22"/>
        </w:rPr>
        <w:t>A</w:t>
      </w:r>
      <w:bookmarkStart w:id="3" w:name="_Hlk503002197"/>
      <w:r w:rsidRPr="00935085">
        <w:rPr>
          <w:sz w:val="22"/>
        </w:rPr>
        <w:t xml:space="preserve">CECQA. (2017). </w:t>
      </w:r>
      <w:r w:rsidR="00C1340A" w:rsidRPr="00935085">
        <w:rPr>
          <w:i/>
          <w:sz w:val="22"/>
        </w:rPr>
        <w:t>Reporting requirements about children.</w:t>
      </w:r>
      <w:r w:rsidR="00C1340A" w:rsidRPr="00935085">
        <w:rPr>
          <w:sz w:val="22"/>
        </w:rPr>
        <w:t xml:space="preserve"> </w:t>
      </w:r>
      <w:hyperlink r:id="rId8" w:history="1">
        <w:r w:rsidR="00935085" w:rsidRPr="00935085">
          <w:rPr>
            <w:rStyle w:val="Hyperlink"/>
            <w:sz w:val="22"/>
          </w:rPr>
          <w:t>http://www.acecqa.gov.au/reporting-requirements-about-children</w:t>
        </w:r>
      </w:hyperlink>
      <w:r w:rsidR="00935085" w:rsidRPr="00935085">
        <w:rPr>
          <w:sz w:val="22"/>
        </w:rPr>
        <w:t xml:space="preserve"> accessed </w:t>
      </w:r>
      <w:r w:rsidR="0004630D">
        <w:rPr>
          <w:sz w:val="22"/>
        </w:rPr>
        <w:t>November 2020</w:t>
      </w:r>
    </w:p>
    <w:p w:rsidR="0004630D" w:rsidRDefault="00791ED8" w:rsidP="002675BF">
      <w:pPr>
        <w:numPr>
          <w:ilvl w:val="0"/>
          <w:numId w:val="18"/>
        </w:numPr>
        <w:jc w:val="left"/>
        <w:rPr>
          <w:sz w:val="22"/>
        </w:rPr>
      </w:pPr>
      <w:r w:rsidRPr="00791ED8">
        <w:rPr>
          <w:sz w:val="22"/>
        </w:rPr>
        <w:t xml:space="preserve">Child Protection Act 1999 (current as </w:t>
      </w:r>
      <w:proofErr w:type="gramStart"/>
      <w:r w:rsidRPr="00791ED8">
        <w:rPr>
          <w:sz w:val="22"/>
        </w:rPr>
        <w:t>at</w:t>
      </w:r>
      <w:proofErr w:type="gramEnd"/>
      <w:r w:rsidRPr="00791ED8">
        <w:rPr>
          <w:sz w:val="22"/>
        </w:rPr>
        <w:t xml:space="preserve"> 1 January 2018). </w:t>
      </w:r>
      <w:hyperlink r:id="rId9" w:anchor="sec.13E" w:history="1">
        <w:r w:rsidRPr="00791ED8">
          <w:rPr>
            <w:rStyle w:val="Hyperlink"/>
            <w:sz w:val="22"/>
          </w:rPr>
          <w:t>https://www.legislation.qld.gov.au/view/html/inforce/current/act-1999-010#sec.13E</w:t>
        </w:r>
      </w:hyperlink>
      <w:r w:rsidRPr="00791ED8">
        <w:rPr>
          <w:sz w:val="22"/>
        </w:rPr>
        <w:t xml:space="preserve"> </w:t>
      </w:r>
    </w:p>
    <w:p w:rsidR="00791ED8" w:rsidRDefault="00791ED8" w:rsidP="0004630D">
      <w:pPr>
        <w:ind w:left="720"/>
        <w:jc w:val="left"/>
        <w:rPr>
          <w:sz w:val="22"/>
        </w:rPr>
      </w:pPr>
      <w:r w:rsidRPr="00791ED8">
        <w:rPr>
          <w:sz w:val="22"/>
        </w:rPr>
        <w:t xml:space="preserve">accessed </w:t>
      </w:r>
      <w:r w:rsidR="0004630D">
        <w:rPr>
          <w:sz w:val="22"/>
        </w:rPr>
        <w:t>November 2020</w:t>
      </w:r>
    </w:p>
    <w:p w:rsidR="0004630D" w:rsidRDefault="002675BF" w:rsidP="0004630D">
      <w:pPr>
        <w:numPr>
          <w:ilvl w:val="0"/>
          <w:numId w:val="18"/>
        </w:numPr>
        <w:jc w:val="left"/>
        <w:rPr>
          <w:sz w:val="22"/>
        </w:rPr>
      </w:pPr>
      <w:r w:rsidRPr="00594268">
        <w:rPr>
          <w:sz w:val="22"/>
        </w:rPr>
        <w:t>Blue Card Service</w:t>
      </w:r>
      <w:r>
        <w:rPr>
          <w:sz w:val="22"/>
        </w:rPr>
        <w:t>s (Queensland Government)</w:t>
      </w:r>
      <w:r w:rsidRPr="00594268">
        <w:rPr>
          <w:sz w:val="22"/>
        </w:rPr>
        <w:t xml:space="preserve">.  </w:t>
      </w:r>
    </w:p>
    <w:p w:rsidR="002675BF" w:rsidRPr="0004630D" w:rsidRDefault="0004630D" w:rsidP="0004630D">
      <w:pPr>
        <w:ind w:left="720"/>
        <w:jc w:val="left"/>
        <w:rPr>
          <w:rStyle w:val="Hyperlink"/>
          <w:color w:val="1F497D" w:themeColor="text2"/>
          <w:sz w:val="22"/>
          <w:u w:val="none"/>
        </w:rPr>
      </w:pPr>
      <w:hyperlink r:id="rId10" w:history="1">
        <w:r w:rsidRPr="00F25536">
          <w:rPr>
            <w:rStyle w:val="Hyperlink"/>
            <w:sz w:val="22"/>
          </w:rPr>
          <w:t>https://www.qld.gov.au/law/laws-regulated-industries-and-accountability/queensland-laws-and-regulations/regulated-industries-and-licensing/blue-card-services</w:t>
        </w:r>
      </w:hyperlink>
      <w:r>
        <w:rPr>
          <w:color w:val="1F497D" w:themeColor="text2"/>
          <w:sz w:val="22"/>
        </w:rPr>
        <w:t xml:space="preserve"> </w:t>
      </w:r>
      <w:r w:rsidRPr="0004630D">
        <w:rPr>
          <w:sz w:val="22"/>
        </w:rPr>
        <w:t>accessed November 2020</w:t>
      </w:r>
    </w:p>
    <w:p w:rsidR="00B92117" w:rsidRPr="00791ED8" w:rsidRDefault="00B92117" w:rsidP="002675BF">
      <w:pPr>
        <w:numPr>
          <w:ilvl w:val="0"/>
          <w:numId w:val="18"/>
        </w:numPr>
        <w:jc w:val="left"/>
        <w:rPr>
          <w:sz w:val="22"/>
        </w:rPr>
      </w:pPr>
      <w:r w:rsidRPr="00791ED8">
        <w:rPr>
          <w:sz w:val="22"/>
        </w:rPr>
        <w:t>Education and Care Services National Regulations 2011</w:t>
      </w:r>
    </w:p>
    <w:p w:rsidR="00B92117" w:rsidRPr="00935085" w:rsidRDefault="00B92117" w:rsidP="002675BF">
      <w:pPr>
        <w:numPr>
          <w:ilvl w:val="0"/>
          <w:numId w:val="18"/>
        </w:numPr>
        <w:jc w:val="left"/>
        <w:rPr>
          <w:sz w:val="22"/>
        </w:rPr>
      </w:pPr>
      <w:r w:rsidRPr="00935085">
        <w:rPr>
          <w:sz w:val="22"/>
        </w:rPr>
        <w:t>Guide to the</w:t>
      </w:r>
      <w:r w:rsidR="00612EB5" w:rsidRPr="00935085">
        <w:rPr>
          <w:sz w:val="22"/>
        </w:rPr>
        <w:t xml:space="preserve"> National Quality Standard 2011</w:t>
      </w:r>
    </w:p>
    <w:p w:rsidR="003C3C29" w:rsidRPr="0004630D" w:rsidRDefault="003C3C29" w:rsidP="0004630D">
      <w:pPr>
        <w:numPr>
          <w:ilvl w:val="0"/>
          <w:numId w:val="18"/>
        </w:numPr>
        <w:jc w:val="left"/>
        <w:rPr>
          <w:sz w:val="22"/>
        </w:rPr>
      </w:pPr>
      <w:r w:rsidRPr="00935085">
        <w:rPr>
          <w:sz w:val="22"/>
        </w:rPr>
        <w:t>N</w:t>
      </w:r>
      <w:r w:rsidR="00612EB5" w:rsidRPr="00935085">
        <w:rPr>
          <w:sz w:val="22"/>
        </w:rPr>
        <w:t>A</w:t>
      </w:r>
      <w:r w:rsidRPr="00935085">
        <w:rPr>
          <w:sz w:val="22"/>
        </w:rPr>
        <w:t xml:space="preserve">PCAN. (n.d.). </w:t>
      </w:r>
      <w:hyperlink r:id="rId11" w:history="1">
        <w:r w:rsidRPr="00935085">
          <w:rPr>
            <w:i/>
            <w:sz w:val="22"/>
          </w:rPr>
          <w:t xml:space="preserve">Listening to children. </w:t>
        </w:r>
      </w:hyperlink>
      <w:hyperlink r:id="rId12" w:history="1">
        <w:r w:rsidR="0004630D" w:rsidRPr="00F25536">
          <w:rPr>
            <w:rStyle w:val="Hyperlink"/>
            <w:sz w:val="22"/>
          </w:rPr>
          <w:t>http://napcan.org.au/wordpress/wp-content/uploads/2013/08/listeningtochildren.pdf</w:t>
        </w:r>
      </w:hyperlink>
      <w:r w:rsidR="0004630D">
        <w:rPr>
          <w:sz w:val="22"/>
        </w:rPr>
        <w:t xml:space="preserve"> </w:t>
      </w:r>
      <w:r w:rsidR="00C048D0" w:rsidRPr="0004630D">
        <w:rPr>
          <w:sz w:val="22"/>
        </w:rPr>
        <w:t>a</w:t>
      </w:r>
      <w:r w:rsidR="00C048D0" w:rsidRPr="0004630D">
        <w:rPr>
          <w:sz w:val="22"/>
        </w:rPr>
        <w:t>c</w:t>
      </w:r>
      <w:r w:rsidR="00C048D0" w:rsidRPr="0004630D">
        <w:rPr>
          <w:sz w:val="22"/>
        </w:rPr>
        <w:t xml:space="preserve">cessed </w:t>
      </w:r>
      <w:r w:rsidR="0004630D" w:rsidRPr="0004630D">
        <w:rPr>
          <w:sz w:val="22"/>
        </w:rPr>
        <w:t>November 2020</w:t>
      </w:r>
      <w:r w:rsidR="0004630D" w:rsidRPr="0004630D">
        <w:rPr>
          <w:rStyle w:val="Hyperlink"/>
          <w:sz w:val="22"/>
        </w:rPr>
        <w:t xml:space="preserve"> </w:t>
      </w:r>
    </w:p>
    <w:bookmarkEnd w:id="3"/>
    <w:p w:rsidR="00C048D0" w:rsidRPr="004833AC" w:rsidRDefault="00C048D0" w:rsidP="003C3C29">
      <w:pPr>
        <w:ind w:left="360"/>
        <w:jc w:val="left"/>
        <w:rPr>
          <w:sz w:val="22"/>
        </w:rPr>
      </w:pPr>
    </w:p>
    <w:p w:rsidR="00C01274" w:rsidRPr="003C3C29" w:rsidRDefault="0022166B" w:rsidP="00C01274">
      <w:pPr>
        <w:pBdr>
          <w:bottom w:val="single" w:sz="4" w:space="1" w:color="auto"/>
        </w:pBdr>
        <w:jc w:val="left"/>
        <w:rPr>
          <w:b/>
          <w:sz w:val="22"/>
        </w:rPr>
      </w:pPr>
      <w:r>
        <w:rPr>
          <w:b/>
          <w:sz w:val="22"/>
        </w:rPr>
        <w:t>F</w:t>
      </w:r>
      <w:r w:rsidR="00C01274" w:rsidRPr="003C3C29">
        <w:rPr>
          <w:b/>
          <w:sz w:val="22"/>
        </w:rPr>
        <w:t>urther reading and useful websites</w:t>
      </w:r>
    </w:p>
    <w:p w:rsidR="00A423EC" w:rsidRDefault="00A423EC" w:rsidP="00A423EC">
      <w:pPr>
        <w:ind w:left="720"/>
        <w:jc w:val="left"/>
        <w:rPr>
          <w:sz w:val="22"/>
        </w:rPr>
      </w:pPr>
    </w:p>
    <w:p w:rsidR="00894683" w:rsidRDefault="003C3C29" w:rsidP="00A423EC">
      <w:pPr>
        <w:numPr>
          <w:ilvl w:val="0"/>
          <w:numId w:val="18"/>
        </w:numPr>
        <w:jc w:val="left"/>
        <w:rPr>
          <w:sz w:val="22"/>
        </w:rPr>
      </w:pPr>
      <w:bookmarkStart w:id="4" w:name="_Hlk503002218"/>
      <w:r w:rsidRPr="004833AC">
        <w:rPr>
          <w:sz w:val="22"/>
        </w:rPr>
        <w:t xml:space="preserve">Department of </w:t>
      </w:r>
      <w:r w:rsidR="00894683">
        <w:rPr>
          <w:sz w:val="22"/>
        </w:rPr>
        <w:t>Child Safety, Youth and Women</w:t>
      </w:r>
      <w:r w:rsidR="00422D2D" w:rsidRPr="004833AC">
        <w:rPr>
          <w:sz w:val="22"/>
        </w:rPr>
        <w:t xml:space="preserve"> </w:t>
      </w:r>
    </w:p>
    <w:p w:rsidR="003C3C29" w:rsidRPr="004833AC" w:rsidRDefault="00894683" w:rsidP="00A423EC">
      <w:pPr>
        <w:numPr>
          <w:ilvl w:val="0"/>
          <w:numId w:val="18"/>
        </w:numPr>
        <w:jc w:val="left"/>
        <w:rPr>
          <w:sz w:val="22"/>
        </w:rPr>
      </w:pPr>
      <w:hyperlink r:id="rId13" w:history="1">
        <w:r w:rsidRPr="00F25536">
          <w:rPr>
            <w:rStyle w:val="Hyperlink"/>
            <w:sz w:val="22"/>
          </w:rPr>
          <w:t>https://www.csyw.qld.gov.au/department-child-safety-youth-women</w:t>
        </w:r>
      </w:hyperlink>
      <w:r>
        <w:rPr>
          <w:sz w:val="22"/>
        </w:rPr>
        <w:t xml:space="preserve"> </w:t>
      </w:r>
      <w:r w:rsidR="00A423EC">
        <w:rPr>
          <w:sz w:val="22"/>
        </w:rPr>
        <w:t xml:space="preserve">accessed </w:t>
      </w:r>
      <w:r>
        <w:rPr>
          <w:sz w:val="22"/>
        </w:rPr>
        <w:t>November</w:t>
      </w:r>
      <w:r w:rsidR="00935085">
        <w:rPr>
          <w:sz w:val="22"/>
        </w:rPr>
        <w:t xml:space="preserve"> 20</w:t>
      </w:r>
      <w:r>
        <w:rPr>
          <w:sz w:val="22"/>
        </w:rPr>
        <w:t>20</w:t>
      </w:r>
    </w:p>
    <w:p w:rsidR="00E42F26" w:rsidRPr="004833AC" w:rsidRDefault="00E42F26" w:rsidP="00D64411">
      <w:pPr>
        <w:numPr>
          <w:ilvl w:val="0"/>
          <w:numId w:val="18"/>
        </w:numPr>
        <w:jc w:val="left"/>
        <w:rPr>
          <w:sz w:val="22"/>
        </w:rPr>
      </w:pPr>
      <w:r w:rsidRPr="004833AC">
        <w:rPr>
          <w:sz w:val="22"/>
        </w:rPr>
        <w:t>Office of the Australian Information Commissioner –</w:t>
      </w:r>
      <w:r w:rsidR="00D64411" w:rsidRPr="004833AC">
        <w:rPr>
          <w:sz w:val="22"/>
        </w:rPr>
        <w:t xml:space="preserve"> </w:t>
      </w:r>
      <w:hyperlink r:id="rId14" w:history="1">
        <w:r w:rsidR="00A423EC" w:rsidRPr="009A3C72">
          <w:rPr>
            <w:rStyle w:val="Hyperlink"/>
            <w:sz w:val="22"/>
          </w:rPr>
          <w:t>http://www.oaic.gov.au/</w:t>
        </w:r>
      </w:hyperlink>
      <w:r w:rsidR="00A423EC">
        <w:rPr>
          <w:sz w:val="22"/>
        </w:rPr>
        <w:t xml:space="preserve"> accessed </w:t>
      </w:r>
      <w:r w:rsidR="00894683">
        <w:rPr>
          <w:sz w:val="22"/>
        </w:rPr>
        <w:t>November</w:t>
      </w:r>
      <w:r w:rsidR="00935085">
        <w:rPr>
          <w:sz w:val="22"/>
        </w:rPr>
        <w:t xml:space="preserve"> 20</w:t>
      </w:r>
      <w:r w:rsidR="00894683">
        <w:rPr>
          <w:sz w:val="22"/>
        </w:rPr>
        <w:t>20</w:t>
      </w:r>
    </w:p>
    <w:p w:rsidR="003C3C29" w:rsidRPr="004833AC" w:rsidRDefault="003C3C29" w:rsidP="00D64411">
      <w:pPr>
        <w:numPr>
          <w:ilvl w:val="0"/>
          <w:numId w:val="18"/>
        </w:numPr>
        <w:jc w:val="left"/>
        <w:rPr>
          <w:sz w:val="22"/>
        </w:rPr>
      </w:pPr>
      <w:r w:rsidRPr="004833AC">
        <w:rPr>
          <w:sz w:val="22"/>
        </w:rPr>
        <w:t>Queensland Police –</w:t>
      </w:r>
      <w:r w:rsidR="00D64411" w:rsidRPr="004833AC">
        <w:rPr>
          <w:sz w:val="22"/>
        </w:rPr>
        <w:t xml:space="preserve"> </w:t>
      </w:r>
      <w:hyperlink r:id="rId15" w:history="1">
        <w:r w:rsidR="00D64411" w:rsidRPr="004833AC">
          <w:rPr>
            <w:rStyle w:val="Hyperlink"/>
            <w:color w:val="auto"/>
            <w:sz w:val="22"/>
          </w:rPr>
          <w:t>http://www.police.qld.gov.au/</w:t>
        </w:r>
      </w:hyperlink>
      <w:r w:rsidR="00A423EC">
        <w:rPr>
          <w:rStyle w:val="Hyperlink"/>
          <w:color w:val="auto"/>
          <w:sz w:val="22"/>
          <w:u w:val="none"/>
        </w:rPr>
        <w:t xml:space="preserve"> accessed </w:t>
      </w:r>
      <w:r w:rsidR="00894683">
        <w:rPr>
          <w:rStyle w:val="Hyperlink"/>
          <w:color w:val="auto"/>
          <w:sz w:val="22"/>
          <w:u w:val="none"/>
        </w:rPr>
        <w:t>November 2020</w:t>
      </w:r>
    </w:p>
    <w:bookmarkEnd w:id="4"/>
    <w:p w:rsidR="003C3C29" w:rsidRPr="003C3C29" w:rsidRDefault="003C3C29" w:rsidP="003C3C29">
      <w:pPr>
        <w:pBdr>
          <w:bottom w:val="single" w:sz="4" w:space="1" w:color="auto"/>
        </w:pBdr>
        <w:jc w:val="left"/>
        <w:rPr>
          <w:b/>
          <w:sz w:val="22"/>
        </w:rPr>
      </w:pPr>
    </w:p>
    <w:p w:rsidR="003C3C29" w:rsidRPr="003C3C29" w:rsidRDefault="003C3C29" w:rsidP="003C3C29">
      <w:pPr>
        <w:pBdr>
          <w:bottom w:val="single" w:sz="4" w:space="1" w:color="auto"/>
        </w:pBdr>
        <w:jc w:val="left"/>
        <w:rPr>
          <w:b/>
          <w:sz w:val="22"/>
        </w:rPr>
      </w:pPr>
      <w:r w:rsidRPr="003C3C29">
        <w:rPr>
          <w:b/>
          <w:sz w:val="22"/>
        </w:rPr>
        <w:t>Policy review</w:t>
      </w:r>
    </w:p>
    <w:p w:rsidR="003C3C29" w:rsidRPr="003C3C29" w:rsidRDefault="003C3C29" w:rsidP="003C3C29">
      <w:pPr>
        <w:jc w:val="left"/>
        <w:rPr>
          <w:sz w:val="22"/>
        </w:rPr>
      </w:pPr>
    </w:p>
    <w:p w:rsidR="003C3C29" w:rsidRDefault="003C3C29" w:rsidP="003C3C29">
      <w:pPr>
        <w:jc w:val="both"/>
        <w:rPr>
          <w:sz w:val="22"/>
        </w:rPr>
      </w:pPr>
      <w:r w:rsidRPr="003C3C29">
        <w:rPr>
          <w:sz w:val="22"/>
        </w:rPr>
        <w:t xml:space="preserve">The </w:t>
      </w:r>
      <w:r w:rsidR="00F55E08">
        <w:rPr>
          <w:sz w:val="22"/>
        </w:rPr>
        <w:t>Service</w:t>
      </w:r>
      <w:r w:rsidRPr="003C3C29">
        <w:rPr>
          <w:sz w:val="22"/>
        </w:rPr>
        <w:t xml:space="preserve"> encourages staff and parents to be actively involved in the annual review of each of its policies and procedures. In addition, the </w:t>
      </w:r>
      <w:r w:rsidR="00F55E08">
        <w:rPr>
          <w:sz w:val="22"/>
        </w:rPr>
        <w:t>Service</w:t>
      </w:r>
      <w:r w:rsidRPr="003C3C29">
        <w:rPr>
          <w:sz w:val="22"/>
        </w:rPr>
        <w:t xml:space="preserve"> will accommodate any new legislative changes as they occur and any issues identified as part the </w:t>
      </w:r>
      <w:r w:rsidR="00F55E08">
        <w:rPr>
          <w:sz w:val="22"/>
        </w:rPr>
        <w:t>Service</w:t>
      </w:r>
      <w:r w:rsidRPr="003C3C29">
        <w:rPr>
          <w:sz w:val="22"/>
        </w:rPr>
        <w:t xml:space="preserve">’s commitment to quality improvement. The </w:t>
      </w:r>
      <w:r w:rsidR="00F55E08">
        <w:rPr>
          <w:sz w:val="22"/>
        </w:rPr>
        <w:t>Service</w:t>
      </w:r>
      <w:r w:rsidRPr="003C3C29">
        <w:rPr>
          <w:sz w:val="22"/>
        </w:rPr>
        <w:t xml:space="preserve"> consults with relevant recognised authorities as part of the annual review to ensure the policy contents are consistent with current research and contemporary views on best practice. </w:t>
      </w:r>
    </w:p>
    <w:p w:rsidR="00144AF7" w:rsidRDefault="00144AF7" w:rsidP="003C3C29">
      <w:pPr>
        <w:jc w:val="both"/>
        <w:rPr>
          <w:sz w:val="22"/>
        </w:rPr>
      </w:pPr>
    </w:p>
    <w:p w:rsidR="00144AF7" w:rsidRDefault="00144AF7" w:rsidP="003C3C29">
      <w:pPr>
        <w:jc w:val="both"/>
        <w:rPr>
          <w:sz w:val="22"/>
        </w:rPr>
      </w:pPr>
    </w:p>
    <w:p w:rsidR="00144AF7" w:rsidRDefault="00144AF7" w:rsidP="003C3C29">
      <w:pPr>
        <w:jc w:val="both"/>
        <w:rPr>
          <w:sz w:val="22"/>
        </w:rPr>
      </w:pPr>
    </w:p>
    <w:p w:rsidR="00144AF7" w:rsidRDefault="00144AF7" w:rsidP="003C3C29">
      <w:pPr>
        <w:jc w:val="both"/>
        <w:rPr>
          <w:sz w:val="22"/>
        </w:rPr>
      </w:pPr>
    </w:p>
    <w:p w:rsidR="00144AF7" w:rsidRDefault="00144AF7" w:rsidP="003C3C29">
      <w:pPr>
        <w:jc w:val="both"/>
        <w:rPr>
          <w:sz w:val="22"/>
        </w:rPr>
      </w:pPr>
    </w:p>
    <w:p w:rsidR="00144AF7" w:rsidRPr="003C3C29" w:rsidRDefault="00144AF7" w:rsidP="003C3C29">
      <w:pPr>
        <w:jc w:val="both"/>
        <w:rPr>
          <w:sz w:val="22"/>
        </w:rPr>
      </w:pPr>
    </w:p>
    <w:p w:rsidR="003C3C29" w:rsidRPr="003C3C29" w:rsidRDefault="003C3C29" w:rsidP="003C3C29">
      <w:pPr>
        <w:jc w:val="left"/>
        <w:rPr>
          <w:b/>
          <w:sz w:val="22"/>
        </w:rPr>
      </w:pPr>
    </w:p>
    <w:p w:rsidR="00386592" w:rsidRDefault="00386592" w:rsidP="00386592">
      <w:pPr>
        <w:pBdr>
          <w:bottom w:val="single" w:sz="4" w:space="1" w:color="auto"/>
        </w:pBdr>
        <w:jc w:val="left"/>
        <w:rPr>
          <w:b/>
          <w:sz w:val="22"/>
        </w:rPr>
      </w:pPr>
      <w:r>
        <w:rPr>
          <w:b/>
          <w:sz w:val="22"/>
        </w:rPr>
        <w:t>Version Control</w:t>
      </w:r>
    </w:p>
    <w:p w:rsidR="00386592" w:rsidRDefault="00386592" w:rsidP="00386592">
      <w:pPr>
        <w:jc w:val="left"/>
        <w:rPr>
          <w:sz w:val="22"/>
        </w:rPr>
      </w:pPr>
    </w:p>
    <w:p w:rsidR="003C3C29" w:rsidRPr="003C3C29" w:rsidRDefault="003C3C29" w:rsidP="003C3C29">
      <w:pPr>
        <w:jc w:val="lef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1658"/>
        <w:gridCol w:w="2228"/>
        <w:gridCol w:w="2756"/>
        <w:gridCol w:w="1775"/>
      </w:tblGrid>
      <w:tr w:rsidR="00FC2FA4" w:rsidTr="006D5DB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FA4" w:rsidRDefault="00FC2FA4" w:rsidP="006D5DB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Version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FA4" w:rsidRDefault="00FC2FA4" w:rsidP="006D5DB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Reviewed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FA4" w:rsidRDefault="00FC2FA4" w:rsidP="006D5DB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Approved By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FA4" w:rsidRDefault="00FC2FA4" w:rsidP="006D5DB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Comments/Amendments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FA4" w:rsidRDefault="00FC2FA4" w:rsidP="006D5DB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Next Review Date</w:t>
            </w:r>
          </w:p>
        </w:tc>
      </w:tr>
      <w:tr w:rsidR="00FC2FA4" w:rsidTr="006D5DB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A4" w:rsidRDefault="00FC2FA4" w:rsidP="006D5DB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A4" w:rsidRDefault="00FC2FA4" w:rsidP="006D5DB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January 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A4" w:rsidRDefault="00FC2FA4" w:rsidP="006D5DB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Brenda Abbey (Author)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A4" w:rsidRDefault="00FC2FA4" w:rsidP="006D5DB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Updated to changed NQF requirements 1 February 2018. </w:t>
            </w:r>
          </w:p>
          <w:p w:rsidR="00FC2FA4" w:rsidRDefault="00FC2FA4" w:rsidP="006D5DB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Service to modify policies to its specific needs.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4" w:rsidRDefault="00FC2FA4" w:rsidP="006D5DB2">
            <w:pPr>
              <w:jc w:val="left"/>
              <w:rPr>
                <w:sz w:val="18"/>
                <w:szCs w:val="18"/>
              </w:rPr>
            </w:pPr>
          </w:p>
        </w:tc>
      </w:tr>
      <w:tr w:rsidR="00894683" w:rsidTr="006D5DB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3" w:rsidRDefault="00894683" w:rsidP="006D5DB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3" w:rsidRDefault="00894683" w:rsidP="006D5DB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November 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3" w:rsidRDefault="00894683" w:rsidP="006D5DB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Maryann </w:t>
            </w:r>
            <w:proofErr w:type="spellStart"/>
            <w:r>
              <w:rPr>
                <w:sz w:val="18"/>
                <w:szCs w:val="18"/>
              </w:rPr>
              <w:t>Dziedzic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3" w:rsidRDefault="00894683" w:rsidP="006D5DB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staff contributed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3" w:rsidRDefault="00894683" w:rsidP="006D5DB2">
            <w:pPr>
              <w:jc w:val="left"/>
              <w:rPr>
                <w:sz w:val="18"/>
                <w:szCs w:val="18"/>
              </w:rPr>
            </w:pPr>
          </w:p>
        </w:tc>
      </w:tr>
    </w:tbl>
    <w:p w:rsidR="000B1049" w:rsidRPr="00823689" w:rsidRDefault="000B1049" w:rsidP="00D80E2A">
      <w:pPr>
        <w:jc w:val="left"/>
        <w:rPr>
          <w:b/>
          <w:sz w:val="22"/>
        </w:rPr>
      </w:pPr>
    </w:p>
    <w:bookmarkEnd w:id="0"/>
    <w:p w:rsidR="000B1049" w:rsidRDefault="000B1049" w:rsidP="000B1049">
      <w:pPr>
        <w:rPr>
          <w:sz w:val="22"/>
        </w:rPr>
      </w:pPr>
    </w:p>
    <w:p w:rsidR="005633F1" w:rsidRPr="000B1049" w:rsidRDefault="005633F1" w:rsidP="000B1049"/>
    <w:sectPr w:rsidR="005633F1" w:rsidRPr="000B1049" w:rsidSect="00FD6401">
      <w:headerReference w:type="default" r:id="rId16"/>
      <w:footerReference w:type="default" r:id="rId17"/>
      <w:pgSz w:w="11906" w:h="16838"/>
      <w:pgMar w:top="1701" w:right="1416" w:bottom="1134" w:left="1276" w:header="113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7AA9" w:rsidRDefault="00B97AA9" w:rsidP="00FC7AF1">
      <w:r>
        <w:separator/>
      </w:r>
    </w:p>
  </w:endnote>
  <w:endnote w:type="continuationSeparator" w:id="0">
    <w:p w:rsidR="00B97AA9" w:rsidRDefault="00B97AA9" w:rsidP="00FC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ta Plus Normal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micSansMS">
    <w:panose1 w:val="030F07020303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2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7224"/>
      <w:gridCol w:w="3997"/>
    </w:tblGrid>
    <w:tr w:rsidR="005F4CC1" w:rsidTr="00995FE3">
      <w:trPr>
        <w:trHeight w:val="634"/>
      </w:trPr>
      <w:tc>
        <w:tcPr>
          <w:tcW w:w="7224" w:type="dxa"/>
          <w:shd w:val="clear" w:color="auto" w:fill="808080" w:themeFill="background1" w:themeFillShade="80"/>
        </w:tcPr>
        <w:p w:rsidR="00CA42A1" w:rsidRDefault="005F4CC1" w:rsidP="008C731A">
          <w:pPr>
            <w:pStyle w:val="Footer"/>
            <w:ind w:right="282"/>
            <w:jc w:val="left"/>
            <w:rPr>
              <w:noProof/>
              <w:color w:val="FFFFFF" w:themeColor="background1"/>
              <w:sz w:val="18"/>
              <w:szCs w:val="18"/>
              <w:lang w:val="en-US"/>
            </w:rPr>
          </w:pPr>
          <w:r>
            <w:rPr>
              <w:noProof/>
              <w:color w:val="FFFFFF" w:themeColor="background1"/>
              <w:sz w:val="18"/>
              <w:szCs w:val="18"/>
              <w:lang w:val="en-US"/>
            </w:rPr>
            <w:t>Copyright © Dr Brenda Abbey (Childcare by Design</w:t>
          </w:r>
          <w:r w:rsidR="007A4FBD">
            <w:rPr>
              <w:noProof/>
              <w:color w:val="FFFFFF" w:themeColor="background1"/>
              <w:sz w:val="18"/>
              <w:szCs w:val="18"/>
              <w:lang w:val="en-US"/>
            </w:rPr>
            <w:t xml:space="preserve"> Pty Ltd</w:t>
          </w:r>
          <w:r>
            <w:rPr>
              <w:noProof/>
              <w:color w:val="FFFFFF" w:themeColor="background1"/>
              <w:sz w:val="18"/>
              <w:szCs w:val="18"/>
              <w:lang w:val="en-US"/>
            </w:rPr>
            <w:t xml:space="preserve">) 2012. </w:t>
          </w:r>
          <w:r w:rsidR="00FC2FA4">
            <w:rPr>
              <w:noProof/>
              <w:color w:val="FFFFFF" w:themeColor="background1"/>
              <w:sz w:val="18"/>
              <w:szCs w:val="18"/>
              <w:lang w:val="en-US"/>
            </w:rPr>
            <w:t xml:space="preserve">Updated </w:t>
          </w:r>
          <w:r w:rsidR="00CA42A1">
            <w:rPr>
              <w:noProof/>
              <w:color w:val="FFFFFF" w:themeColor="background1"/>
              <w:sz w:val="18"/>
              <w:szCs w:val="18"/>
              <w:lang w:val="en-US"/>
            </w:rPr>
            <w:t>201</w:t>
          </w:r>
          <w:r w:rsidR="00BA56C6">
            <w:rPr>
              <w:noProof/>
              <w:color w:val="FFFFFF" w:themeColor="background1"/>
              <w:sz w:val="18"/>
              <w:szCs w:val="18"/>
              <w:lang w:val="en-US"/>
            </w:rPr>
            <w:t>8</w:t>
          </w:r>
          <w:r w:rsidR="00CA42A1">
            <w:rPr>
              <w:noProof/>
              <w:color w:val="FFFFFF" w:themeColor="background1"/>
              <w:sz w:val="18"/>
              <w:szCs w:val="18"/>
              <w:lang w:val="en-US"/>
            </w:rPr>
            <w:t>.</w:t>
          </w:r>
        </w:p>
        <w:p w:rsidR="005F4CC1" w:rsidRPr="005F4CC1" w:rsidRDefault="005F4CC1" w:rsidP="008C731A">
          <w:pPr>
            <w:pStyle w:val="Footer"/>
            <w:ind w:right="282"/>
            <w:jc w:val="left"/>
            <w:rPr>
              <w:noProof/>
              <w:color w:val="FFFFFF" w:themeColor="background1"/>
              <w:sz w:val="18"/>
              <w:szCs w:val="18"/>
              <w:lang w:val="en-US"/>
            </w:rPr>
          </w:pPr>
          <w:r>
            <w:rPr>
              <w:noProof/>
              <w:color w:val="FFFFFF" w:themeColor="background1"/>
              <w:sz w:val="18"/>
              <w:szCs w:val="18"/>
              <w:lang w:val="en-US"/>
            </w:rPr>
            <w:t>May be reproduced and adapted with permission but t</w:t>
          </w:r>
          <w:r w:rsidR="00B03206">
            <w:rPr>
              <w:noProof/>
              <w:color w:val="FFFFFF" w:themeColor="background1"/>
              <w:sz w:val="18"/>
              <w:szCs w:val="18"/>
              <w:lang w:val="en-US"/>
            </w:rPr>
            <w:t>he author must be acknowledged.</w:t>
          </w:r>
        </w:p>
      </w:tc>
      <w:tc>
        <w:tcPr>
          <w:tcW w:w="3997" w:type="dxa"/>
          <w:shd w:val="clear" w:color="auto" w:fill="808080" w:themeFill="background1" w:themeFillShade="80"/>
        </w:tcPr>
        <w:p w:rsidR="005F4CC1" w:rsidRPr="00B03206" w:rsidRDefault="008C731A" w:rsidP="008C731A">
          <w:pPr>
            <w:pStyle w:val="Footer"/>
            <w:ind w:right="282"/>
            <w:jc w:val="right"/>
            <w:rPr>
              <w:noProof/>
              <w:sz w:val="20"/>
              <w:szCs w:val="20"/>
              <w:lang w:val="en-US"/>
            </w:rPr>
          </w:pPr>
          <w:r>
            <w:rPr>
              <w:color w:val="FFFFFF" w:themeColor="background1"/>
              <w:sz w:val="20"/>
              <w:szCs w:val="20"/>
            </w:rPr>
            <w:t xml:space="preserve"> </w:t>
          </w:r>
          <w:r w:rsidR="00B03206" w:rsidRPr="00B03206">
            <w:rPr>
              <w:color w:val="FFFFFF" w:themeColor="background1"/>
              <w:sz w:val="20"/>
              <w:szCs w:val="20"/>
            </w:rPr>
            <w:t>QA</w:t>
          </w:r>
          <w:r w:rsidR="00B03206" w:rsidRPr="00B03206">
            <w:rPr>
              <w:color w:val="FFFFFF" w:themeColor="background1"/>
              <w:sz w:val="24"/>
              <w:szCs w:val="24"/>
            </w:rPr>
            <w:t>2</w:t>
          </w:r>
          <w:r w:rsidR="00B03206" w:rsidRPr="00B03206">
            <w:rPr>
              <w:color w:val="FFFFFF" w:themeColor="background1"/>
              <w:szCs w:val="28"/>
            </w:rPr>
            <w:t xml:space="preserve"> </w:t>
          </w:r>
          <w:r w:rsidR="00B03206" w:rsidRPr="00B03206">
            <w:rPr>
              <w:color w:val="FFFFFF" w:themeColor="background1"/>
              <w:sz w:val="20"/>
              <w:szCs w:val="20"/>
            </w:rPr>
            <w:t>QA</w:t>
          </w:r>
          <w:r w:rsidR="00B03206" w:rsidRPr="00B03206">
            <w:rPr>
              <w:color w:val="FFFFFF" w:themeColor="background1"/>
              <w:sz w:val="24"/>
              <w:szCs w:val="24"/>
            </w:rPr>
            <w:t>4</w:t>
          </w:r>
          <w:r w:rsidR="00B03206" w:rsidRPr="00B03206">
            <w:rPr>
              <w:color w:val="FFFFFF" w:themeColor="background1"/>
              <w:sz w:val="20"/>
              <w:szCs w:val="20"/>
            </w:rPr>
            <w:t xml:space="preserve"> QA</w:t>
          </w:r>
          <w:r w:rsidR="00B03206" w:rsidRPr="00B03206">
            <w:rPr>
              <w:color w:val="FFFFFF" w:themeColor="background1"/>
              <w:sz w:val="24"/>
              <w:szCs w:val="24"/>
            </w:rPr>
            <w:t>5</w:t>
          </w:r>
          <w:r w:rsidR="00B03206" w:rsidRPr="00B03206">
            <w:rPr>
              <w:color w:val="FFFFFF" w:themeColor="background1"/>
              <w:sz w:val="20"/>
              <w:szCs w:val="20"/>
            </w:rPr>
            <w:t xml:space="preserve"> QA</w:t>
          </w:r>
          <w:r w:rsidR="00B03206" w:rsidRPr="00B03206">
            <w:rPr>
              <w:color w:val="FFFFFF" w:themeColor="background1"/>
              <w:sz w:val="24"/>
              <w:szCs w:val="24"/>
            </w:rPr>
            <w:t>7</w:t>
          </w:r>
        </w:p>
      </w:tc>
    </w:tr>
  </w:tbl>
  <w:p w:rsidR="00D64411" w:rsidRDefault="00D64411" w:rsidP="00F60EBC">
    <w:pPr>
      <w:pStyle w:val="Footer"/>
      <w:ind w:left="-1276" w:right="282"/>
      <w:jc w:val="left"/>
    </w:pPr>
    <w:r>
      <w:rPr>
        <w:noProof/>
        <w:lang w:val="en-US"/>
      </w:rPr>
      <w:ptab w:relativeTo="margin" w:alignment="left" w:leader="none"/>
    </w:r>
  </w:p>
  <w:p w:rsidR="00D64411" w:rsidRDefault="00D64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7AA9" w:rsidRDefault="00B97AA9" w:rsidP="00FC7AF1">
      <w:r>
        <w:separator/>
      </w:r>
    </w:p>
  </w:footnote>
  <w:footnote w:type="continuationSeparator" w:id="0">
    <w:p w:rsidR="00B97AA9" w:rsidRDefault="00B97AA9" w:rsidP="00FC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4411" w:rsidRDefault="00FF7C53" w:rsidP="006C3A67">
    <w:pPr>
      <w:pStyle w:val="Header"/>
      <w:ind w:left="-1276" w:right="-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D4D46B" wp14:editId="18E5F912">
              <wp:simplePos x="0" y="0"/>
              <wp:positionH relativeFrom="column">
                <wp:posOffset>-698117</wp:posOffset>
              </wp:positionH>
              <wp:positionV relativeFrom="paragraph">
                <wp:posOffset>281928</wp:posOffset>
              </wp:positionV>
              <wp:extent cx="7317740" cy="656590"/>
              <wp:effectExtent l="0" t="0" r="16510" b="1016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7740" cy="656590"/>
                        <a:chOff x="0" y="0"/>
                        <a:chExt cx="7374890" cy="600074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0" y="0"/>
                          <a:ext cx="7374890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FF7C53" w:rsidRDefault="00FF7C53" w:rsidP="00FF7C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219075" y="171449"/>
                          <a:ext cx="4684221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FF7C53" w:rsidRPr="002360B0" w:rsidRDefault="00FF7C53" w:rsidP="00FF7C53">
                            <w:pPr>
                              <w:jc w:val="left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Child Protection and Risk Mana</w:t>
                            </w:r>
                            <w:r w:rsidR="00A060A1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D4D46B" id="Group 3" o:spid="_x0000_s1026" style="position:absolute;left:0;text-align:left;margin-left:-54.95pt;margin-top:22.2pt;width:576.2pt;height:51.7pt;z-index:251659264;mso-width-relative:margin;mso-height-relative:margin" coordsize="73748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width:7374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" fillcolor="#7f7f7f" strokecolor="#a6a6a6" strokeweight=".5pt">
                <v:textbox>
                  <w:txbxContent>
                    <w:p w:rsidR="00FF7C53" w:rsidRDefault="00FF7C53" w:rsidP="00FF7C53"/>
                  </w:txbxContent>
                </v:textbox>
              </v:shape>
              <v:shape id="Text Box 5" o:spid="_x0000_s1028" type="#_x0000_t202" style="position:absolute;left:2190;top:1714;width:46842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" fillcolor="#92d050" strokecolor="#92d050" strokeweight=".5pt">
                <v:textbox>
                  <w:txbxContent>
                    <w:p w:rsidR="00FF7C53" w:rsidRPr="002360B0" w:rsidRDefault="00FF7C53" w:rsidP="00FF7C53">
                      <w:pPr>
                        <w:jc w:val="left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Child Protection and Risk Mana</w:t>
                      </w:r>
                      <w:r w:rsidR="00A060A1">
                        <w:rPr>
                          <w:color w:val="FFFFFF" w:themeColor="background1"/>
                          <w:sz w:val="44"/>
                          <w:szCs w:val="44"/>
                        </w:rPr>
                        <w:t>gement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55B6"/>
    <w:multiLevelType w:val="hybridMultilevel"/>
    <w:tmpl w:val="9E7C9FD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DE2"/>
    <w:multiLevelType w:val="hybridMultilevel"/>
    <w:tmpl w:val="45C4C4C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67026F"/>
    <w:multiLevelType w:val="hybridMultilevel"/>
    <w:tmpl w:val="2ED40906"/>
    <w:lvl w:ilvl="0" w:tplc="8FA0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B89"/>
    <w:multiLevelType w:val="hybridMultilevel"/>
    <w:tmpl w:val="96B2AD3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C4876"/>
    <w:multiLevelType w:val="hybridMultilevel"/>
    <w:tmpl w:val="AB50B64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A75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05563F"/>
    <w:multiLevelType w:val="hybridMultilevel"/>
    <w:tmpl w:val="D39C8DA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40AD9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255240"/>
    <w:multiLevelType w:val="hybridMultilevel"/>
    <w:tmpl w:val="F6F6F9B6"/>
    <w:lvl w:ilvl="0" w:tplc="04090001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580563"/>
    <w:multiLevelType w:val="hybridMultilevel"/>
    <w:tmpl w:val="9A621DA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D5D14FB"/>
    <w:multiLevelType w:val="hybridMultilevel"/>
    <w:tmpl w:val="191CADB6"/>
    <w:lvl w:ilvl="0" w:tplc="8FA0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43835"/>
    <w:multiLevelType w:val="hybridMultilevel"/>
    <w:tmpl w:val="334C7C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B73364"/>
    <w:multiLevelType w:val="hybridMultilevel"/>
    <w:tmpl w:val="64A22F7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40AD9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2BE5D0A"/>
    <w:multiLevelType w:val="hybridMultilevel"/>
    <w:tmpl w:val="1EA61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522BD"/>
    <w:multiLevelType w:val="hybridMultilevel"/>
    <w:tmpl w:val="C95C4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77D26"/>
    <w:multiLevelType w:val="hybridMultilevel"/>
    <w:tmpl w:val="DA2AFACE"/>
    <w:lvl w:ilvl="0" w:tplc="8FA0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803A1"/>
    <w:multiLevelType w:val="hybridMultilevel"/>
    <w:tmpl w:val="F0B038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3E7100E"/>
    <w:multiLevelType w:val="hybridMultilevel"/>
    <w:tmpl w:val="20A48C1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F1DC1"/>
    <w:multiLevelType w:val="hybridMultilevel"/>
    <w:tmpl w:val="ADFAEC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9973F7A"/>
    <w:multiLevelType w:val="hybridMultilevel"/>
    <w:tmpl w:val="DE14425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A75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E537022"/>
    <w:multiLevelType w:val="hybridMultilevel"/>
    <w:tmpl w:val="43BABEE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B29A1"/>
    <w:multiLevelType w:val="hybridMultilevel"/>
    <w:tmpl w:val="5BC86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31095"/>
    <w:multiLevelType w:val="hybridMultilevel"/>
    <w:tmpl w:val="D342232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A75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1026728"/>
    <w:multiLevelType w:val="hybridMultilevel"/>
    <w:tmpl w:val="85E2A5E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55B1E"/>
    <w:multiLevelType w:val="hybridMultilevel"/>
    <w:tmpl w:val="D2A46AA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40AD9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6B33410"/>
    <w:multiLevelType w:val="hybridMultilevel"/>
    <w:tmpl w:val="E3F82F1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25CD4"/>
    <w:multiLevelType w:val="hybridMultilevel"/>
    <w:tmpl w:val="059814A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90601"/>
    <w:multiLevelType w:val="multilevel"/>
    <w:tmpl w:val="0968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6B56C6"/>
    <w:multiLevelType w:val="hybridMultilevel"/>
    <w:tmpl w:val="1444D13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40AD9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D4D4533"/>
    <w:multiLevelType w:val="hybridMultilevel"/>
    <w:tmpl w:val="F3A0DCCC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7"/>
  </w:num>
  <w:num w:numId="5">
    <w:abstractNumId w:val="14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12"/>
  </w:num>
  <w:num w:numId="11">
    <w:abstractNumId w:val="19"/>
  </w:num>
  <w:num w:numId="12">
    <w:abstractNumId w:val="11"/>
  </w:num>
  <w:num w:numId="13">
    <w:abstractNumId w:val="3"/>
  </w:num>
  <w:num w:numId="14">
    <w:abstractNumId w:val="0"/>
  </w:num>
  <w:num w:numId="15">
    <w:abstractNumId w:val="23"/>
  </w:num>
  <w:num w:numId="16">
    <w:abstractNumId w:val="24"/>
  </w:num>
  <w:num w:numId="17">
    <w:abstractNumId w:val="18"/>
  </w:num>
  <w:num w:numId="18">
    <w:abstractNumId w:val="26"/>
  </w:num>
  <w:num w:numId="19">
    <w:abstractNumId w:val="9"/>
  </w:num>
  <w:num w:numId="20">
    <w:abstractNumId w:val="21"/>
  </w:num>
  <w:num w:numId="21">
    <w:abstractNumId w:val="4"/>
  </w:num>
  <w:num w:numId="22">
    <w:abstractNumId w:val="17"/>
  </w:num>
  <w:num w:numId="23">
    <w:abstractNumId w:val="20"/>
  </w:num>
  <w:num w:numId="24">
    <w:abstractNumId w:val="10"/>
  </w:num>
  <w:num w:numId="25">
    <w:abstractNumId w:val="22"/>
  </w:num>
  <w:num w:numId="26">
    <w:abstractNumId w:val="5"/>
  </w:num>
  <w:num w:numId="27">
    <w:abstractNumId w:val="15"/>
  </w:num>
  <w:num w:numId="28">
    <w:abstractNumId w:val="2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5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4A"/>
    <w:rsid w:val="0000702D"/>
    <w:rsid w:val="000331B6"/>
    <w:rsid w:val="0004630D"/>
    <w:rsid w:val="000909A7"/>
    <w:rsid w:val="000925AE"/>
    <w:rsid w:val="000975FB"/>
    <w:rsid w:val="000B1049"/>
    <w:rsid w:val="000D059C"/>
    <w:rsid w:val="000D2052"/>
    <w:rsid w:val="000E513A"/>
    <w:rsid w:val="000E6AE9"/>
    <w:rsid w:val="000F4D51"/>
    <w:rsid w:val="00106622"/>
    <w:rsid w:val="00106DF0"/>
    <w:rsid w:val="001170E2"/>
    <w:rsid w:val="00127F4A"/>
    <w:rsid w:val="00144AF7"/>
    <w:rsid w:val="00157ED8"/>
    <w:rsid w:val="001730EC"/>
    <w:rsid w:val="0017491C"/>
    <w:rsid w:val="001863EF"/>
    <w:rsid w:val="00192CA5"/>
    <w:rsid w:val="00195EC6"/>
    <w:rsid w:val="001A5D7F"/>
    <w:rsid w:val="001B4F93"/>
    <w:rsid w:val="001D0830"/>
    <w:rsid w:val="001F2361"/>
    <w:rsid w:val="002057F5"/>
    <w:rsid w:val="0022166B"/>
    <w:rsid w:val="002374BF"/>
    <w:rsid w:val="0024487A"/>
    <w:rsid w:val="00251185"/>
    <w:rsid w:val="002608A8"/>
    <w:rsid w:val="002630EB"/>
    <w:rsid w:val="00267336"/>
    <w:rsid w:val="002675BF"/>
    <w:rsid w:val="002842F0"/>
    <w:rsid w:val="00292A77"/>
    <w:rsid w:val="002B654A"/>
    <w:rsid w:val="002B66D5"/>
    <w:rsid w:val="002C7542"/>
    <w:rsid w:val="003106F6"/>
    <w:rsid w:val="0031284F"/>
    <w:rsid w:val="00312F9C"/>
    <w:rsid w:val="003572EA"/>
    <w:rsid w:val="003636CB"/>
    <w:rsid w:val="0036374A"/>
    <w:rsid w:val="00375CE4"/>
    <w:rsid w:val="00386592"/>
    <w:rsid w:val="003A2234"/>
    <w:rsid w:val="003A2A0A"/>
    <w:rsid w:val="003B42F4"/>
    <w:rsid w:val="003C3C29"/>
    <w:rsid w:val="003C7458"/>
    <w:rsid w:val="003D4830"/>
    <w:rsid w:val="003E6B7D"/>
    <w:rsid w:val="0040650E"/>
    <w:rsid w:val="00407C0D"/>
    <w:rsid w:val="00412BE8"/>
    <w:rsid w:val="004168E4"/>
    <w:rsid w:val="00422D2D"/>
    <w:rsid w:val="00457EF5"/>
    <w:rsid w:val="00471B75"/>
    <w:rsid w:val="00472896"/>
    <w:rsid w:val="004833AC"/>
    <w:rsid w:val="004835A3"/>
    <w:rsid w:val="00487CCF"/>
    <w:rsid w:val="00490E72"/>
    <w:rsid w:val="004B3963"/>
    <w:rsid w:val="004C4A67"/>
    <w:rsid w:val="004D2BC9"/>
    <w:rsid w:val="004D367E"/>
    <w:rsid w:val="004D4882"/>
    <w:rsid w:val="004E3A8F"/>
    <w:rsid w:val="005219DB"/>
    <w:rsid w:val="005633F1"/>
    <w:rsid w:val="00565133"/>
    <w:rsid w:val="00572792"/>
    <w:rsid w:val="00575F6E"/>
    <w:rsid w:val="00580340"/>
    <w:rsid w:val="005913A3"/>
    <w:rsid w:val="005A5DA9"/>
    <w:rsid w:val="005E5C2A"/>
    <w:rsid w:val="005F4CC1"/>
    <w:rsid w:val="0061099E"/>
    <w:rsid w:val="00612EB5"/>
    <w:rsid w:val="0061728C"/>
    <w:rsid w:val="00654761"/>
    <w:rsid w:val="006A4D35"/>
    <w:rsid w:val="006B04BE"/>
    <w:rsid w:val="006C2772"/>
    <w:rsid w:val="006C3A67"/>
    <w:rsid w:val="006C4FA2"/>
    <w:rsid w:val="006F0A7F"/>
    <w:rsid w:val="006F2E57"/>
    <w:rsid w:val="006F6D1C"/>
    <w:rsid w:val="007539C0"/>
    <w:rsid w:val="00762239"/>
    <w:rsid w:val="0077151E"/>
    <w:rsid w:val="00774FCB"/>
    <w:rsid w:val="007768B6"/>
    <w:rsid w:val="0078033E"/>
    <w:rsid w:val="007831D8"/>
    <w:rsid w:val="00791ED8"/>
    <w:rsid w:val="007A4FBD"/>
    <w:rsid w:val="007F17C7"/>
    <w:rsid w:val="00823689"/>
    <w:rsid w:val="00832D28"/>
    <w:rsid w:val="00851178"/>
    <w:rsid w:val="00853179"/>
    <w:rsid w:val="00883D68"/>
    <w:rsid w:val="00887A79"/>
    <w:rsid w:val="00894683"/>
    <w:rsid w:val="008B56CB"/>
    <w:rsid w:val="008B73AB"/>
    <w:rsid w:val="008C29C0"/>
    <w:rsid w:val="008C731A"/>
    <w:rsid w:val="008D4947"/>
    <w:rsid w:val="008E6ECC"/>
    <w:rsid w:val="00913520"/>
    <w:rsid w:val="00914115"/>
    <w:rsid w:val="009235A1"/>
    <w:rsid w:val="009323D3"/>
    <w:rsid w:val="00934AE6"/>
    <w:rsid w:val="00935085"/>
    <w:rsid w:val="00951A24"/>
    <w:rsid w:val="009524DC"/>
    <w:rsid w:val="00961D3E"/>
    <w:rsid w:val="00995FE3"/>
    <w:rsid w:val="0099617F"/>
    <w:rsid w:val="009965FB"/>
    <w:rsid w:val="00997F5E"/>
    <w:rsid w:val="009A130E"/>
    <w:rsid w:val="009B4561"/>
    <w:rsid w:val="009D4AA9"/>
    <w:rsid w:val="009E74EF"/>
    <w:rsid w:val="009F0999"/>
    <w:rsid w:val="009F37E9"/>
    <w:rsid w:val="00A060A1"/>
    <w:rsid w:val="00A07EB2"/>
    <w:rsid w:val="00A12AA6"/>
    <w:rsid w:val="00A207F1"/>
    <w:rsid w:val="00A423EC"/>
    <w:rsid w:val="00A524AA"/>
    <w:rsid w:val="00A54C44"/>
    <w:rsid w:val="00A621D4"/>
    <w:rsid w:val="00AA5227"/>
    <w:rsid w:val="00AA7204"/>
    <w:rsid w:val="00AB1006"/>
    <w:rsid w:val="00AB6343"/>
    <w:rsid w:val="00AD4590"/>
    <w:rsid w:val="00AE2A87"/>
    <w:rsid w:val="00AF1650"/>
    <w:rsid w:val="00B03206"/>
    <w:rsid w:val="00B06C00"/>
    <w:rsid w:val="00B25037"/>
    <w:rsid w:val="00B41425"/>
    <w:rsid w:val="00B7208B"/>
    <w:rsid w:val="00B92117"/>
    <w:rsid w:val="00B95E8C"/>
    <w:rsid w:val="00B97AA9"/>
    <w:rsid w:val="00BA56C6"/>
    <w:rsid w:val="00BB5D03"/>
    <w:rsid w:val="00BD333D"/>
    <w:rsid w:val="00BD47AB"/>
    <w:rsid w:val="00BE11F4"/>
    <w:rsid w:val="00BF4A3A"/>
    <w:rsid w:val="00BF6BB6"/>
    <w:rsid w:val="00C01274"/>
    <w:rsid w:val="00C048D0"/>
    <w:rsid w:val="00C111D8"/>
    <w:rsid w:val="00C1340A"/>
    <w:rsid w:val="00C13775"/>
    <w:rsid w:val="00C24D02"/>
    <w:rsid w:val="00C30719"/>
    <w:rsid w:val="00C37AF1"/>
    <w:rsid w:val="00C449C0"/>
    <w:rsid w:val="00C52C53"/>
    <w:rsid w:val="00C55B16"/>
    <w:rsid w:val="00C61326"/>
    <w:rsid w:val="00C669E5"/>
    <w:rsid w:val="00C76CB4"/>
    <w:rsid w:val="00C860DE"/>
    <w:rsid w:val="00C9794B"/>
    <w:rsid w:val="00C97B0E"/>
    <w:rsid w:val="00CA42A1"/>
    <w:rsid w:val="00CA5273"/>
    <w:rsid w:val="00CB6033"/>
    <w:rsid w:val="00CC2B2B"/>
    <w:rsid w:val="00CC6860"/>
    <w:rsid w:val="00CE573B"/>
    <w:rsid w:val="00CE68B6"/>
    <w:rsid w:val="00CF28D8"/>
    <w:rsid w:val="00D163B1"/>
    <w:rsid w:val="00D17B3A"/>
    <w:rsid w:val="00D26E8B"/>
    <w:rsid w:val="00D30E65"/>
    <w:rsid w:val="00D46E46"/>
    <w:rsid w:val="00D64411"/>
    <w:rsid w:val="00D80E2A"/>
    <w:rsid w:val="00D93BB1"/>
    <w:rsid w:val="00DD00A0"/>
    <w:rsid w:val="00DD7B9F"/>
    <w:rsid w:val="00DF7C26"/>
    <w:rsid w:val="00E42F26"/>
    <w:rsid w:val="00E54B10"/>
    <w:rsid w:val="00E62F65"/>
    <w:rsid w:val="00E77A47"/>
    <w:rsid w:val="00E961C0"/>
    <w:rsid w:val="00EA16C4"/>
    <w:rsid w:val="00EA3698"/>
    <w:rsid w:val="00EB0011"/>
    <w:rsid w:val="00EB1144"/>
    <w:rsid w:val="00EB6F7D"/>
    <w:rsid w:val="00EC0D9A"/>
    <w:rsid w:val="00EE005C"/>
    <w:rsid w:val="00EE493E"/>
    <w:rsid w:val="00EF5A20"/>
    <w:rsid w:val="00EF7231"/>
    <w:rsid w:val="00F13255"/>
    <w:rsid w:val="00F322F8"/>
    <w:rsid w:val="00F32BA7"/>
    <w:rsid w:val="00F3371A"/>
    <w:rsid w:val="00F50E15"/>
    <w:rsid w:val="00F55E08"/>
    <w:rsid w:val="00F60EBC"/>
    <w:rsid w:val="00F74338"/>
    <w:rsid w:val="00F975E8"/>
    <w:rsid w:val="00FB407D"/>
    <w:rsid w:val="00FB5AB6"/>
    <w:rsid w:val="00FB63A4"/>
    <w:rsid w:val="00FC2FA4"/>
    <w:rsid w:val="00FC7AF1"/>
    <w:rsid w:val="00FD4DCD"/>
    <w:rsid w:val="00FD6401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3293A"/>
  <w14:defaultImageDpi w14:val="0"/>
  <w15:docId w15:val="{5CD07B2A-E37B-4F18-9491-6BEA37C4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A3"/>
    <w:pPr>
      <w:jc w:val="center"/>
    </w:pPr>
    <w:rPr>
      <w:rFonts w:cs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6374A"/>
    <w:pPr>
      <w:jc w:val="left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374A"/>
    <w:rPr>
      <w:rFonts w:ascii="Times New Roman" w:hAnsi="Times New Roman" w:cs="Times New Roman"/>
      <w:b/>
      <w:i/>
      <w:sz w:val="24"/>
    </w:rPr>
  </w:style>
  <w:style w:type="table" w:styleId="TableGrid">
    <w:name w:val="Table Grid"/>
    <w:basedOn w:val="TableNormal"/>
    <w:uiPriority w:val="99"/>
    <w:rsid w:val="0036374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4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307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8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FC7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7AF1"/>
    <w:rPr>
      <w:rFonts w:cs="Times New Roman"/>
      <w:sz w:val="22"/>
      <w:szCs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AF1"/>
    <w:rPr>
      <w:rFonts w:ascii="Tahoma" w:hAnsi="Tahoma" w:cs="Tahoma"/>
      <w:sz w:val="16"/>
      <w:szCs w:val="16"/>
      <w:lang w:val="x-none" w:eastAsia="en-US"/>
    </w:rPr>
  </w:style>
  <w:style w:type="character" w:styleId="Strong">
    <w:name w:val="Strong"/>
    <w:basedOn w:val="DefaultParagraphFont"/>
    <w:uiPriority w:val="22"/>
    <w:qFormat/>
    <w:locked/>
    <w:rsid w:val="00C6132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C3A6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C3A67"/>
    <w:rPr>
      <w:rFonts w:cs="Times New Roman"/>
      <w:sz w:val="22"/>
      <w:szCs w:val="22"/>
      <w:lang w:val="en-US" w:eastAsia="en-US"/>
    </w:rPr>
  </w:style>
  <w:style w:type="paragraph" w:customStyle="1" w:styleId="Default">
    <w:name w:val="Default"/>
    <w:rsid w:val="006C3A6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15">
    <w:name w:val="A15"/>
    <w:rsid w:val="006C3A67"/>
    <w:rPr>
      <w:color w:val="000000"/>
      <w:sz w:val="14"/>
    </w:rPr>
  </w:style>
  <w:style w:type="paragraph" w:customStyle="1" w:styleId="Pa7">
    <w:name w:val="Pa7"/>
    <w:basedOn w:val="Normal"/>
    <w:next w:val="Normal"/>
    <w:rsid w:val="006C3A67"/>
    <w:pPr>
      <w:autoSpaceDE w:val="0"/>
      <w:autoSpaceDN w:val="0"/>
      <w:adjustRightInd w:val="0"/>
      <w:spacing w:line="221" w:lineRule="atLeast"/>
      <w:jc w:val="left"/>
    </w:pPr>
    <w:rPr>
      <w:rFonts w:ascii="Meta Plus Normal" w:hAnsi="Meta Plus Norm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2E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5C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508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62F65"/>
    <w:rPr>
      <w:rFonts w:cs="Times New Roman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cqa.gov.au/reporting-requirements-about-children" TargetMode="External"/><Relationship Id="rId13" Type="http://schemas.openxmlformats.org/officeDocument/2006/relationships/hyperlink" Target="https://www.csyw.qld.gov.au/department-child-safety-youth-wom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pcan.org.au/wordpress/wp-content/uploads/2013/08/listeningtochildren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ad\AppData\Local\Microsoft\Windows\Temporary%20Internet%20Files\Content.Outlook\TKZCS6I1\Listening%20to%20children.%20http:\www.napcan.org.au\images\uploads\pdf\1flrxo8vz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ice.qld.gov.au/" TargetMode="External"/><Relationship Id="rId10" Type="http://schemas.openxmlformats.org/officeDocument/2006/relationships/hyperlink" Target="https://www.qld.gov.au/law/laws-regulated-industries-and-accountability/queensland-laws-and-regulations/regulated-industries-and-licensing/blue-card-servic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qld.gov.au/view/html/inforce/current/act-1999-010" TargetMode="External"/><Relationship Id="rId14" Type="http://schemas.openxmlformats.org/officeDocument/2006/relationships/hyperlink" Target="http://www.oa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E760-5C34-4A85-981B-72DFF5D1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and Risk Management</vt:lpstr>
    </vt:vector>
  </TitlesOfParts>
  <Company>Toshiba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and Risk Management</dc:title>
  <dc:subject/>
  <dc:creator>Pam</dc:creator>
  <cp:keywords/>
  <dc:description/>
  <cp:lastModifiedBy>green room</cp:lastModifiedBy>
  <cp:revision>2</cp:revision>
  <cp:lastPrinted>2013-01-30T00:53:00Z</cp:lastPrinted>
  <dcterms:created xsi:type="dcterms:W3CDTF">2020-11-18T01:09:00Z</dcterms:created>
  <dcterms:modified xsi:type="dcterms:W3CDTF">2020-11-18T01:09:00Z</dcterms:modified>
</cp:coreProperties>
</file>