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9A" w:rsidRDefault="00DC6D9A" w:rsidP="00421FF9">
      <w:pPr>
        <w:rPr>
          <w:rFonts w:asciiTheme="minorHAnsi" w:hAnsiTheme="minorHAnsi" w:cs="Calibri"/>
          <w:b/>
          <w:sz w:val="22"/>
        </w:rPr>
      </w:pPr>
      <w:bookmarkStart w:id="0" w:name="OLE_LINK3"/>
    </w:p>
    <w:p w:rsidR="00DC6D9A" w:rsidRDefault="00DC6D9A" w:rsidP="00421FF9">
      <w:pPr>
        <w:rPr>
          <w:rFonts w:asciiTheme="minorHAnsi" w:hAnsiTheme="minorHAnsi" w:cs="Calibri"/>
          <w:b/>
          <w:sz w:val="22"/>
        </w:rPr>
      </w:pPr>
    </w:p>
    <w:p w:rsidR="00DF2B27" w:rsidRDefault="00B73E00" w:rsidP="00421FF9">
      <w:pPr>
        <w:rPr>
          <w:rFonts w:asciiTheme="minorHAnsi" w:hAnsiTheme="minorHAnsi" w:cs="Calibri"/>
          <w:b/>
          <w:sz w:val="22"/>
        </w:rPr>
      </w:pPr>
      <w:r>
        <w:rPr>
          <w:rFonts w:asciiTheme="minorHAnsi" w:hAnsiTheme="minorHAnsi" w:cs="Calibri"/>
          <w:b/>
          <w:sz w:val="22"/>
        </w:rPr>
        <w:t>Canossa Kindergarten</w:t>
      </w:r>
    </w:p>
    <w:p w:rsidR="00421FF9" w:rsidRPr="00DF2B27" w:rsidRDefault="00421FF9" w:rsidP="00421FF9">
      <w:pPr>
        <w:rPr>
          <w:rFonts w:asciiTheme="minorHAnsi" w:hAnsiTheme="minorHAnsi" w:cs="Calibri"/>
          <w:sz w:val="22"/>
        </w:rPr>
      </w:pPr>
    </w:p>
    <w:p w:rsidR="00DF2B27" w:rsidRPr="00DF2B27" w:rsidRDefault="00DF2B27" w:rsidP="00DF2B27">
      <w:pPr>
        <w:pBdr>
          <w:bottom w:val="single" w:sz="4" w:space="1" w:color="auto"/>
        </w:pBdr>
        <w:jc w:val="both"/>
        <w:rPr>
          <w:rFonts w:asciiTheme="minorHAnsi" w:hAnsiTheme="minorHAnsi" w:cs="Calibri"/>
          <w:sz w:val="22"/>
        </w:rPr>
      </w:pPr>
    </w:p>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Background</w:t>
      </w:r>
    </w:p>
    <w:p w:rsidR="00DF2B27" w:rsidRPr="00DF2B27" w:rsidRDefault="00DF2B27" w:rsidP="00DF2B27">
      <w:pPr>
        <w:jc w:val="both"/>
        <w:rPr>
          <w:rFonts w:asciiTheme="minorHAnsi" w:hAnsiTheme="minorHAnsi" w:cs="Calibri"/>
          <w:sz w:val="22"/>
        </w:rPr>
      </w:pPr>
    </w:p>
    <w:p w:rsidR="00DF2B27" w:rsidRPr="00DF2B27" w:rsidRDefault="00DF2B27" w:rsidP="00DF2B27">
      <w:pPr>
        <w:jc w:val="both"/>
        <w:rPr>
          <w:rFonts w:asciiTheme="minorHAnsi" w:hAnsiTheme="minorHAnsi" w:cs="Calibri"/>
          <w:sz w:val="22"/>
        </w:rPr>
      </w:pPr>
      <w:r w:rsidRPr="00DF2B27">
        <w:rPr>
          <w:rFonts w:asciiTheme="minorHAnsi" w:hAnsiTheme="minorHAnsi" w:cs="Calibri"/>
          <w:sz w:val="22"/>
        </w:rPr>
        <w:t xml:space="preserve">Children’s access to clean water for drinking and for washing their hands is important for their health and wellbeing. In addition, access to water play affords children the opportunity for open-ended, exploratory and sensory play which contributes to their development and learning. It also develops environmental awareness.  </w:t>
      </w:r>
    </w:p>
    <w:p w:rsidR="00DF2B27" w:rsidRPr="00DF2B27" w:rsidRDefault="00DF2B27" w:rsidP="00DF2B27">
      <w:pPr>
        <w:jc w:val="both"/>
        <w:rPr>
          <w:rFonts w:asciiTheme="minorHAnsi" w:hAnsiTheme="minorHAnsi" w:cs="Calibri"/>
          <w:color w:val="FF0000"/>
          <w:sz w:val="22"/>
        </w:rPr>
      </w:pPr>
    </w:p>
    <w:p w:rsidR="00DF2B27" w:rsidRPr="00DF2B27" w:rsidRDefault="00DF2B27" w:rsidP="00DF2B27">
      <w:pPr>
        <w:jc w:val="both"/>
        <w:rPr>
          <w:rFonts w:asciiTheme="minorHAnsi" w:hAnsiTheme="minorHAnsi" w:cs="Calibri"/>
          <w:sz w:val="22"/>
        </w:rPr>
      </w:pPr>
      <w:r w:rsidRPr="00DF2B27">
        <w:rPr>
          <w:rFonts w:asciiTheme="minorHAnsi" w:hAnsiTheme="minorHAnsi" w:cs="Calibri"/>
          <w:sz w:val="22"/>
        </w:rPr>
        <w:t xml:space="preserve">However, children can drown in as little as 5cm of water. Accordingly, their access to water requires effective management and the highest level of supervision. </w:t>
      </w:r>
    </w:p>
    <w:p w:rsidR="00DF2B27" w:rsidRPr="00DF2B27" w:rsidRDefault="00DF2B27" w:rsidP="00DF2B27">
      <w:pPr>
        <w:jc w:val="both"/>
        <w:rPr>
          <w:rFonts w:asciiTheme="minorHAnsi" w:hAnsiTheme="minorHAnsi" w:cs="Calibri"/>
          <w:color w:val="FF0000"/>
          <w:sz w:val="22"/>
        </w:rPr>
      </w:pPr>
    </w:p>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Policy statement</w:t>
      </w:r>
    </w:p>
    <w:p w:rsidR="00DF2B27" w:rsidRPr="00DF2B27" w:rsidRDefault="00DF2B27" w:rsidP="00DF2B27">
      <w:pPr>
        <w:ind w:left="360"/>
        <w:jc w:val="both"/>
        <w:rPr>
          <w:rFonts w:asciiTheme="minorHAnsi" w:hAnsiTheme="minorHAnsi" w:cs="Calibri"/>
          <w:sz w:val="22"/>
        </w:rPr>
      </w:pPr>
    </w:p>
    <w:p w:rsidR="00DF2B27" w:rsidRPr="00DF2B27" w:rsidRDefault="00DF2B27" w:rsidP="00DF2B27">
      <w:pPr>
        <w:pStyle w:val="Pa2"/>
        <w:spacing w:after="160"/>
        <w:jc w:val="both"/>
        <w:rPr>
          <w:rFonts w:asciiTheme="minorHAnsi" w:hAnsiTheme="minorHAnsi" w:cs="Calibri"/>
          <w:sz w:val="22"/>
          <w:szCs w:val="22"/>
        </w:rPr>
      </w:pPr>
      <w:bookmarkStart w:id="1" w:name="OLE_LINK4"/>
      <w:r w:rsidRPr="00DF2B27">
        <w:rPr>
          <w:rFonts w:asciiTheme="minorHAnsi" w:hAnsiTheme="minorHAnsi" w:cs="Calibri"/>
          <w:sz w:val="22"/>
          <w:szCs w:val="22"/>
        </w:rPr>
        <w:t xml:space="preserve">This Policy outlines the </w:t>
      </w:r>
      <w:r w:rsidR="00BC3C8C">
        <w:rPr>
          <w:rFonts w:asciiTheme="minorHAnsi" w:hAnsiTheme="minorHAnsi" w:cs="Calibri"/>
          <w:sz w:val="22"/>
          <w:szCs w:val="22"/>
        </w:rPr>
        <w:t>Service</w:t>
      </w:r>
      <w:r w:rsidRPr="00DF2B27">
        <w:rPr>
          <w:rFonts w:asciiTheme="minorHAnsi" w:hAnsiTheme="minorHAnsi" w:cs="Calibri"/>
          <w:sz w:val="22"/>
          <w:szCs w:val="22"/>
        </w:rPr>
        <w:t xml:space="preserve">’s approach to water safety so that children remain unharmed and healthy and applies at the </w:t>
      </w:r>
      <w:r w:rsidR="00BC3C8C">
        <w:rPr>
          <w:rFonts w:asciiTheme="minorHAnsi" w:hAnsiTheme="minorHAnsi" w:cs="Calibri"/>
          <w:sz w:val="22"/>
          <w:szCs w:val="22"/>
        </w:rPr>
        <w:t>Service</w:t>
      </w:r>
      <w:r w:rsidRPr="00DF2B27">
        <w:rPr>
          <w:rFonts w:asciiTheme="minorHAnsi" w:hAnsiTheme="minorHAnsi" w:cs="Calibri"/>
          <w:sz w:val="22"/>
          <w:szCs w:val="22"/>
        </w:rPr>
        <w:t xml:space="preserve"> and during excursions. Safety and supervision of children are the highest priority when children have access to water. The Policy covers hot water, drinking water, hygiene practices with water, and water play. It also includes safe storage of equipment used for water play. </w:t>
      </w:r>
    </w:p>
    <w:p w:rsidR="00DF2B27" w:rsidRPr="00DF2B27" w:rsidRDefault="00DF2B27" w:rsidP="00DF2B27">
      <w:pPr>
        <w:pStyle w:val="Default"/>
        <w:rPr>
          <w:rFonts w:asciiTheme="minorHAnsi" w:hAnsiTheme="minorHAnsi" w:cs="Calibri"/>
          <w:color w:val="auto"/>
        </w:rPr>
      </w:pPr>
    </w:p>
    <w:bookmarkEnd w:id="1"/>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Strategies and practices</w:t>
      </w:r>
    </w:p>
    <w:p w:rsidR="00DF2B27" w:rsidRPr="00DF2B27" w:rsidRDefault="00DF2B27" w:rsidP="00DF2B27">
      <w:pPr>
        <w:suppressAutoHyphens/>
        <w:jc w:val="both"/>
        <w:rPr>
          <w:rFonts w:asciiTheme="minorHAnsi" w:hAnsiTheme="minorHAnsi" w:cs="Calibri"/>
          <w:sz w:val="22"/>
        </w:rPr>
      </w:pPr>
    </w:p>
    <w:p w:rsidR="00DF2B27" w:rsidRPr="00DF2B27" w:rsidRDefault="00DF2B27" w:rsidP="00B77597">
      <w:pPr>
        <w:pStyle w:val="Default"/>
        <w:numPr>
          <w:ilvl w:val="0"/>
          <w:numId w:val="6"/>
        </w:numPr>
        <w:jc w:val="both"/>
        <w:rPr>
          <w:rFonts w:asciiTheme="minorHAnsi" w:hAnsiTheme="minorHAnsi" w:cs="Calibri"/>
          <w:color w:val="auto"/>
          <w:sz w:val="22"/>
          <w:szCs w:val="22"/>
        </w:rPr>
      </w:pPr>
      <w:r w:rsidRPr="00DF2B27">
        <w:rPr>
          <w:rFonts w:asciiTheme="minorHAnsi" w:hAnsiTheme="minorHAnsi" w:cs="Calibri"/>
          <w:color w:val="auto"/>
          <w:sz w:val="22"/>
          <w:szCs w:val="22"/>
        </w:rPr>
        <w:t xml:space="preserve">At enrolment, the </w:t>
      </w:r>
      <w:r w:rsidR="00BC3C8C">
        <w:rPr>
          <w:rFonts w:asciiTheme="minorHAnsi" w:hAnsiTheme="minorHAnsi" w:cs="Calibri"/>
          <w:color w:val="auto"/>
          <w:sz w:val="22"/>
          <w:szCs w:val="22"/>
        </w:rPr>
        <w:t>Service</w:t>
      </w:r>
      <w:r w:rsidRPr="00DF2B27">
        <w:rPr>
          <w:rFonts w:asciiTheme="minorHAnsi" w:hAnsiTheme="minorHAnsi" w:cs="Calibri"/>
          <w:color w:val="auto"/>
          <w:sz w:val="22"/>
          <w:szCs w:val="22"/>
        </w:rPr>
        <w:t xml:space="preserve">’s </w:t>
      </w:r>
      <w:r w:rsidRPr="00DF2B27">
        <w:rPr>
          <w:rFonts w:asciiTheme="minorHAnsi" w:hAnsiTheme="minorHAnsi" w:cs="Calibri"/>
          <w:i/>
          <w:color w:val="auto"/>
          <w:sz w:val="22"/>
          <w:szCs w:val="22"/>
        </w:rPr>
        <w:t>Water Safety Policy</w:t>
      </w:r>
      <w:r w:rsidRPr="00DF2B27">
        <w:rPr>
          <w:rFonts w:asciiTheme="minorHAnsi" w:hAnsiTheme="minorHAnsi" w:cs="Calibri"/>
          <w:color w:val="auto"/>
          <w:sz w:val="22"/>
          <w:szCs w:val="22"/>
        </w:rPr>
        <w:t xml:space="preserve"> is explained to parents. </w:t>
      </w:r>
    </w:p>
    <w:p w:rsidR="00DF2B27" w:rsidRPr="00DF2B27" w:rsidRDefault="00DF2B27" w:rsidP="00DF2B27">
      <w:pPr>
        <w:pStyle w:val="Default"/>
        <w:ind w:left="360"/>
        <w:jc w:val="both"/>
        <w:rPr>
          <w:rFonts w:asciiTheme="minorHAnsi" w:hAnsiTheme="minorHAnsi" w:cs="Calibri"/>
          <w:color w:val="auto"/>
          <w:sz w:val="22"/>
          <w:szCs w:val="22"/>
        </w:rPr>
      </w:pPr>
    </w:p>
    <w:p w:rsidR="00DF2B27" w:rsidRPr="00DF2B2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Families are provided with water safety information including water safety in the home and the availability of learn-to-swim programs in the local community.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pStyle w:val="Default"/>
        <w:numPr>
          <w:ilvl w:val="0"/>
          <w:numId w:val="6"/>
        </w:numPr>
        <w:jc w:val="both"/>
        <w:rPr>
          <w:rFonts w:asciiTheme="minorHAnsi" w:hAnsiTheme="minorHAnsi" w:cs="Calibri"/>
          <w:color w:val="auto"/>
          <w:sz w:val="22"/>
          <w:szCs w:val="22"/>
        </w:rPr>
      </w:pPr>
      <w:r w:rsidRPr="00DF2B27">
        <w:rPr>
          <w:rFonts w:asciiTheme="minorHAnsi" w:hAnsiTheme="minorHAnsi" w:cs="Calibri"/>
          <w:color w:val="auto"/>
          <w:sz w:val="22"/>
          <w:szCs w:val="22"/>
        </w:rPr>
        <w:t xml:space="preserve">Children are closely supervised at all times they are involved in water play or are near water. They are never left alone near water. </w:t>
      </w:r>
    </w:p>
    <w:p w:rsidR="00DF2B27" w:rsidRPr="00DF2B27" w:rsidRDefault="00DF2B27" w:rsidP="00DF2B27">
      <w:pPr>
        <w:pStyle w:val="Default"/>
        <w:jc w:val="both"/>
        <w:rPr>
          <w:rFonts w:asciiTheme="minorHAnsi" w:hAnsiTheme="minorHAnsi" w:cs="Calibri"/>
          <w:sz w:val="22"/>
          <w:szCs w:val="22"/>
        </w:rPr>
      </w:pPr>
    </w:p>
    <w:p w:rsidR="00DF2B27" w:rsidRPr="00DF2B2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Cardiopulmonary Resuscitation (CPR) posters are displayed prominently throughout the </w:t>
      </w:r>
      <w:r w:rsidR="00BC3C8C">
        <w:rPr>
          <w:rFonts w:asciiTheme="minorHAnsi" w:hAnsiTheme="minorHAnsi" w:cs="Calibri"/>
          <w:sz w:val="22"/>
        </w:rPr>
        <w:t>Service</w:t>
      </w:r>
      <w:r w:rsidRPr="00DF2B27">
        <w:rPr>
          <w:rFonts w:asciiTheme="minorHAnsi" w:hAnsiTheme="minorHAnsi" w:cs="Calibri"/>
          <w:sz w:val="22"/>
        </w:rPr>
        <w:t xml:space="preserve">, and where water play is set up.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Educators intentionally teach children about staying safe in and around water.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pStyle w:val="NoSpacing"/>
        <w:numPr>
          <w:ilvl w:val="0"/>
          <w:numId w:val="6"/>
        </w:numPr>
        <w:jc w:val="both"/>
        <w:rPr>
          <w:rFonts w:asciiTheme="minorHAnsi" w:hAnsiTheme="minorHAnsi" w:cs="Calibri"/>
        </w:rPr>
      </w:pPr>
      <w:r w:rsidRPr="00DF2B27">
        <w:rPr>
          <w:rFonts w:asciiTheme="minorHAnsi" w:hAnsiTheme="minorHAnsi" w:cs="Calibri"/>
        </w:rPr>
        <w:t xml:space="preserve">Educators receive continuing professional development in water safety, and specific water safety issues are discussed in team meetings.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pStyle w:val="Default"/>
        <w:numPr>
          <w:ilvl w:val="0"/>
          <w:numId w:val="6"/>
        </w:numPr>
        <w:jc w:val="both"/>
        <w:rPr>
          <w:rFonts w:asciiTheme="minorHAnsi" w:hAnsiTheme="minorHAnsi" w:cs="Calibri"/>
          <w:color w:val="auto"/>
          <w:sz w:val="22"/>
          <w:szCs w:val="22"/>
        </w:rPr>
      </w:pPr>
      <w:r w:rsidRPr="00DF2B27">
        <w:rPr>
          <w:rFonts w:asciiTheme="minorHAnsi" w:hAnsiTheme="minorHAnsi" w:cs="Calibri"/>
          <w:color w:val="auto"/>
          <w:sz w:val="22"/>
          <w:szCs w:val="22"/>
        </w:rPr>
        <w:t xml:space="preserve">Children have ready access to clean drinking water at all times, and are regularly offered water throughout the day. </w:t>
      </w:r>
    </w:p>
    <w:p w:rsidR="00DF2B27" w:rsidRPr="00DF2B27" w:rsidRDefault="00DF2B27" w:rsidP="00DF2B27">
      <w:pPr>
        <w:pStyle w:val="Default"/>
        <w:jc w:val="both"/>
        <w:rPr>
          <w:rFonts w:asciiTheme="minorHAnsi" w:hAnsiTheme="minorHAnsi" w:cs="Calibri"/>
          <w:color w:val="auto"/>
          <w:sz w:val="22"/>
          <w:szCs w:val="22"/>
        </w:rPr>
      </w:pPr>
    </w:p>
    <w:p w:rsidR="00DF2B27" w:rsidRPr="00DF2B2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The water in troughs and containers used for water play is kept at safe levels for children, and at weights that educators can move or secure according to WHS guidelines for safe lifting. </w:t>
      </w:r>
    </w:p>
    <w:p w:rsidR="00DF2B27" w:rsidRPr="00DF2B27" w:rsidRDefault="00DF2B27" w:rsidP="00DF2B27">
      <w:pPr>
        <w:pStyle w:val="NoSpacing"/>
        <w:jc w:val="both"/>
        <w:rPr>
          <w:rFonts w:asciiTheme="minorHAnsi" w:hAnsiTheme="minorHAnsi" w:cs="Calibri"/>
        </w:rPr>
      </w:pPr>
    </w:p>
    <w:p w:rsidR="00DF2B27" w:rsidRPr="00DF2B27" w:rsidRDefault="00DF2B27" w:rsidP="00B77597">
      <w:pPr>
        <w:pStyle w:val="Default"/>
        <w:numPr>
          <w:ilvl w:val="0"/>
          <w:numId w:val="6"/>
        </w:numPr>
        <w:jc w:val="both"/>
        <w:rPr>
          <w:rFonts w:asciiTheme="minorHAnsi" w:hAnsiTheme="minorHAnsi" w:cs="Calibri"/>
          <w:color w:val="auto"/>
          <w:sz w:val="22"/>
          <w:szCs w:val="22"/>
        </w:rPr>
      </w:pPr>
      <w:r w:rsidRPr="00DF2B27">
        <w:rPr>
          <w:rFonts w:asciiTheme="minorHAnsi" w:hAnsiTheme="minorHAnsi" w:cs="Calibri"/>
          <w:color w:val="auto"/>
          <w:sz w:val="22"/>
          <w:szCs w:val="22"/>
        </w:rPr>
        <w:t xml:space="preserve">Children are discouraged from drinking any water used in the play activities.  </w:t>
      </w:r>
    </w:p>
    <w:p w:rsidR="00DF2B27" w:rsidRPr="00DF2B27" w:rsidRDefault="00DF2B27" w:rsidP="00DF2B27">
      <w:pPr>
        <w:pStyle w:val="Default"/>
        <w:jc w:val="both"/>
        <w:rPr>
          <w:rFonts w:asciiTheme="minorHAnsi" w:hAnsiTheme="minorHAnsi" w:cs="Calibri"/>
          <w:color w:val="auto"/>
          <w:sz w:val="22"/>
          <w:szCs w:val="22"/>
        </w:rPr>
      </w:pPr>
    </w:p>
    <w:p w:rsidR="00DF2B27" w:rsidRDefault="00DF2B27" w:rsidP="00B77597">
      <w:pPr>
        <w:pStyle w:val="Default"/>
        <w:numPr>
          <w:ilvl w:val="0"/>
          <w:numId w:val="6"/>
        </w:numPr>
        <w:jc w:val="both"/>
        <w:rPr>
          <w:rFonts w:asciiTheme="minorHAnsi" w:hAnsiTheme="minorHAnsi" w:cs="Calibri"/>
          <w:color w:val="auto"/>
          <w:sz w:val="22"/>
          <w:szCs w:val="22"/>
        </w:rPr>
      </w:pPr>
      <w:r w:rsidRPr="00DF2B27">
        <w:rPr>
          <w:rFonts w:asciiTheme="minorHAnsi" w:hAnsiTheme="minorHAnsi" w:cs="Calibri"/>
          <w:color w:val="auto"/>
          <w:sz w:val="22"/>
          <w:szCs w:val="22"/>
        </w:rPr>
        <w:lastRenderedPageBreak/>
        <w:t xml:space="preserve">All water troughs and containers are emptied and hygienically cleaned at the end of each water play activity, allowed to dry thoroughly to prevent the build-up of potentially harmful bacteria such as mould, and then stored in an area inaccessible to children. </w:t>
      </w:r>
    </w:p>
    <w:p w:rsidR="000B595C" w:rsidRDefault="000B595C" w:rsidP="000B595C">
      <w:pPr>
        <w:pStyle w:val="ListParagraph"/>
        <w:rPr>
          <w:rFonts w:asciiTheme="minorHAnsi" w:hAnsiTheme="minorHAnsi" w:cs="Calibri"/>
          <w:sz w:val="22"/>
        </w:rPr>
      </w:pPr>
    </w:p>
    <w:p w:rsidR="00DF2B27" w:rsidRPr="00DF2B2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Educators and children wash and dry their hands after each water play activity to reduce the risk of cross-infection.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numPr>
          <w:ilvl w:val="0"/>
          <w:numId w:val="6"/>
        </w:numPr>
        <w:jc w:val="both"/>
        <w:rPr>
          <w:rFonts w:asciiTheme="minorHAnsi" w:hAnsiTheme="minorHAnsi" w:cs="Calibri"/>
          <w:sz w:val="22"/>
        </w:rPr>
      </w:pPr>
      <w:r w:rsidRPr="00DF2B27">
        <w:rPr>
          <w:rFonts w:asciiTheme="minorHAnsi" w:hAnsiTheme="minorHAnsi" w:cs="Calibri"/>
          <w:sz w:val="22"/>
        </w:rPr>
        <w:t xml:space="preserve">Buckets used for cleaning are kept out of children’s reach, emptied immediately after each use and stored in an area inaccessible to children. </w:t>
      </w:r>
    </w:p>
    <w:p w:rsidR="00DF2B27" w:rsidRPr="00DF2B27" w:rsidRDefault="00DF2B27" w:rsidP="00DF2B27">
      <w:pPr>
        <w:pStyle w:val="Default"/>
        <w:jc w:val="both"/>
        <w:rPr>
          <w:rFonts w:asciiTheme="minorHAnsi" w:hAnsiTheme="minorHAnsi" w:cs="Calibri"/>
          <w:color w:val="auto"/>
          <w:sz w:val="22"/>
          <w:szCs w:val="22"/>
        </w:rPr>
      </w:pPr>
    </w:p>
    <w:p w:rsidR="00DF2B27" w:rsidRPr="00273467" w:rsidRDefault="00DF2B27" w:rsidP="00B77597">
      <w:pPr>
        <w:numPr>
          <w:ilvl w:val="0"/>
          <w:numId w:val="6"/>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The </w:t>
      </w:r>
      <w:r w:rsidR="00BC3C8C" w:rsidRPr="00273467">
        <w:rPr>
          <w:rFonts w:asciiTheme="minorHAnsi" w:hAnsiTheme="minorHAnsi" w:cs="Calibri"/>
          <w:sz w:val="22"/>
        </w:rPr>
        <w:t>Service</w:t>
      </w:r>
      <w:r w:rsidRPr="00273467">
        <w:rPr>
          <w:rFonts w:asciiTheme="minorHAnsi" w:hAnsiTheme="minorHAnsi" w:cs="Calibri"/>
          <w:sz w:val="22"/>
        </w:rPr>
        <w:t xml:space="preserve">’s fences and gates meet regulatory requirements, and educators ensure that items that could be used to scale the fence are kept away from the fence.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pStyle w:val="Default"/>
        <w:numPr>
          <w:ilvl w:val="0"/>
          <w:numId w:val="7"/>
        </w:numPr>
        <w:jc w:val="both"/>
        <w:rPr>
          <w:rFonts w:asciiTheme="minorHAnsi" w:hAnsiTheme="minorHAnsi" w:cs="Calibri"/>
          <w:color w:val="auto"/>
          <w:sz w:val="22"/>
          <w:szCs w:val="22"/>
        </w:rPr>
      </w:pPr>
      <w:r w:rsidRPr="00DF2B27">
        <w:rPr>
          <w:rFonts w:asciiTheme="minorHAnsi" w:hAnsiTheme="minorHAnsi" w:cs="Calibri"/>
          <w:bCs/>
          <w:color w:val="auto"/>
          <w:sz w:val="22"/>
          <w:szCs w:val="22"/>
        </w:rPr>
        <w:t>The</w:t>
      </w:r>
      <w:r w:rsidRPr="00DF2B27">
        <w:rPr>
          <w:rFonts w:asciiTheme="minorHAnsi" w:hAnsiTheme="minorHAnsi" w:cs="Calibri"/>
          <w:color w:val="auto"/>
          <w:sz w:val="22"/>
          <w:szCs w:val="22"/>
        </w:rPr>
        <w:t xml:space="preserve"> Nominated Supervisor completes an </w:t>
      </w:r>
      <w:r w:rsidRPr="00DF2B27">
        <w:rPr>
          <w:rFonts w:asciiTheme="minorHAnsi" w:hAnsiTheme="minorHAnsi" w:cs="Calibri"/>
          <w:color w:val="auto"/>
          <w:sz w:val="22"/>
          <w:szCs w:val="22"/>
          <w:u w:val="single"/>
        </w:rPr>
        <w:t xml:space="preserve">Excursion Risk Management Plan </w:t>
      </w:r>
      <w:r w:rsidRPr="00DF2B27">
        <w:rPr>
          <w:rFonts w:asciiTheme="minorHAnsi" w:hAnsiTheme="minorHAnsi" w:cs="Calibri"/>
          <w:color w:val="auto"/>
          <w:sz w:val="22"/>
          <w:szCs w:val="22"/>
        </w:rPr>
        <w:t xml:space="preserve">prior to every excursion. As part of the risk assessment, particular attention is focused upon water safety whenever the excursion is near a body of water, and upon supervision implications.  </w:t>
      </w:r>
    </w:p>
    <w:p w:rsidR="00DF2B27" w:rsidRPr="00DF2B27" w:rsidRDefault="00DF2B27" w:rsidP="00DF2B27">
      <w:pPr>
        <w:pStyle w:val="Default"/>
        <w:ind w:left="360"/>
        <w:jc w:val="both"/>
        <w:rPr>
          <w:rFonts w:asciiTheme="minorHAnsi" w:hAnsiTheme="minorHAnsi" w:cs="Calibri"/>
          <w:color w:val="auto"/>
          <w:sz w:val="22"/>
          <w:szCs w:val="22"/>
        </w:rPr>
      </w:pPr>
    </w:p>
    <w:p w:rsidR="00DF2B27" w:rsidRPr="00DF2B27" w:rsidRDefault="00DF2B27" w:rsidP="00B77597">
      <w:pPr>
        <w:pStyle w:val="Default"/>
        <w:numPr>
          <w:ilvl w:val="0"/>
          <w:numId w:val="7"/>
        </w:numPr>
        <w:jc w:val="both"/>
        <w:rPr>
          <w:rFonts w:asciiTheme="minorHAnsi" w:hAnsiTheme="minorHAnsi" w:cs="Calibri"/>
          <w:color w:val="auto"/>
          <w:sz w:val="22"/>
          <w:szCs w:val="22"/>
        </w:rPr>
      </w:pPr>
      <w:r w:rsidRPr="00DF2B27">
        <w:rPr>
          <w:rFonts w:asciiTheme="minorHAnsi" w:hAnsiTheme="minorHAnsi" w:cs="Calibri"/>
          <w:color w:val="auto"/>
          <w:sz w:val="22"/>
          <w:szCs w:val="22"/>
        </w:rPr>
        <w:t>Water for pets is changed regularly, and is inaccessible to children unless accompanied by an educator.</w:t>
      </w:r>
    </w:p>
    <w:p w:rsidR="00DF2B27" w:rsidRPr="00DF2B27" w:rsidRDefault="00DF2B27" w:rsidP="00DF2B27">
      <w:pPr>
        <w:pStyle w:val="Default"/>
        <w:jc w:val="both"/>
        <w:rPr>
          <w:rFonts w:asciiTheme="minorHAnsi" w:hAnsiTheme="minorHAnsi" w:cs="Calibri"/>
          <w:color w:val="auto"/>
          <w:sz w:val="22"/>
          <w:szCs w:val="22"/>
        </w:rPr>
      </w:pPr>
    </w:p>
    <w:p w:rsidR="00DF2B27" w:rsidRPr="00DF2B27" w:rsidRDefault="00DF2B27" w:rsidP="00B77597">
      <w:pPr>
        <w:numPr>
          <w:ilvl w:val="0"/>
          <w:numId w:val="5"/>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Parents are asked to provide a spare set of clothing for their child in the event that the child engages in water play and becomes uncomfortably wet. </w:t>
      </w:r>
    </w:p>
    <w:p w:rsidR="00DF2B27" w:rsidRPr="00DF2B27" w:rsidRDefault="00DF2B27" w:rsidP="00DF2B27">
      <w:pPr>
        <w:autoSpaceDE w:val="0"/>
        <w:autoSpaceDN w:val="0"/>
        <w:adjustRightInd w:val="0"/>
        <w:ind w:left="360"/>
        <w:jc w:val="both"/>
        <w:rPr>
          <w:rFonts w:asciiTheme="minorHAnsi" w:hAnsiTheme="minorHAnsi" w:cs="Calibri"/>
          <w:sz w:val="22"/>
        </w:rPr>
      </w:pPr>
    </w:p>
    <w:p w:rsidR="00DF2B27" w:rsidRPr="00DF2B27" w:rsidRDefault="00DF2B27" w:rsidP="00B77597">
      <w:pPr>
        <w:numPr>
          <w:ilvl w:val="0"/>
          <w:numId w:val="4"/>
        </w:numPr>
        <w:jc w:val="both"/>
        <w:rPr>
          <w:rFonts w:asciiTheme="minorHAnsi" w:hAnsiTheme="minorHAnsi" w:cs="Calibri"/>
          <w:sz w:val="22"/>
        </w:rPr>
      </w:pPr>
      <w:r w:rsidRPr="00DF2B27">
        <w:rPr>
          <w:rFonts w:asciiTheme="minorHAnsi" w:hAnsiTheme="minorHAnsi" w:cs="Calibri"/>
          <w:sz w:val="22"/>
        </w:rPr>
        <w:t xml:space="preserve">Water conservation is embedded in the </w:t>
      </w:r>
      <w:r w:rsidR="00BC3C8C">
        <w:rPr>
          <w:rFonts w:asciiTheme="minorHAnsi" w:hAnsiTheme="minorHAnsi" w:cs="Calibri"/>
          <w:sz w:val="22"/>
        </w:rPr>
        <w:t>Service</w:t>
      </w:r>
      <w:r w:rsidRPr="00DF2B27">
        <w:rPr>
          <w:rFonts w:asciiTheme="minorHAnsi" w:hAnsiTheme="minorHAnsi" w:cs="Calibri"/>
          <w:sz w:val="22"/>
        </w:rPr>
        <w:t>’s practices</w:t>
      </w:r>
    </w:p>
    <w:p w:rsidR="00DF2B27" w:rsidRPr="00DF2B27" w:rsidRDefault="00DF2B27" w:rsidP="00B77597">
      <w:pPr>
        <w:numPr>
          <w:ilvl w:val="1"/>
          <w:numId w:val="4"/>
        </w:numPr>
        <w:jc w:val="both"/>
        <w:rPr>
          <w:rFonts w:asciiTheme="minorHAnsi" w:hAnsiTheme="minorHAnsi" w:cs="Calibri"/>
          <w:sz w:val="22"/>
        </w:rPr>
      </w:pPr>
      <w:r w:rsidRPr="00DF2B27">
        <w:rPr>
          <w:rFonts w:asciiTheme="minorHAnsi" w:hAnsiTheme="minorHAnsi" w:cs="Calibri"/>
          <w:sz w:val="22"/>
        </w:rPr>
        <w:t>only the amount of water required to undertake programmed water play is used</w:t>
      </w:r>
    </w:p>
    <w:p w:rsidR="00DF2B27" w:rsidRPr="00DF2B27" w:rsidRDefault="00DF2B27" w:rsidP="00B77597">
      <w:pPr>
        <w:numPr>
          <w:ilvl w:val="1"/>
          <w:numId w:val="4"/>
        </w:numPr>
        <w:jc w:val="both"/>
        <w:rPr>
          <w:rFonts w:asciiTheme="minorHAnsi" w:hAnsiTheme="minorHAnsi" w:cs="Calibri"/>
          <w:sz w:val="22"/>
        </w:rPr>
      </w:pPr>
      <w:r w:rsidRPr="00DF2B27">
        <w:rPr>
          <w:rFonts w:asciiTheme="minorHAnsi" w:hAnsiTheme="minorHAnsi" w:cs="Calibri"/>
          <w:sz w:val="22"/>
        </w:rPr>
        <w:t>water used in water play is emptied onto gardens</w:t>
      </w:r>
    </w:p>
    <w:p w:rsidR="00DF2B27" w:rsidRPr="00DF2B27" w:rsidRDefault="00DF2B27" w:rsidP="00B77597">
      <w:pPr>
        <w:numPr>
          <w:ilvl w:val="1"/>
          <w:numId w:val="4"/>
        </w:numPr>
        <w:jc w:val="both"/>
        <w:rPr>
          <w:rFonts w:asciiTheme="minorHAnsi" w:hAnsiTheme="minorHAnsi" w:cs="Calibri"/>
          <w:sz w:val="22"/>
        </w:rPr>
      </w:pPr>
      <w:r w:rsidRPr="00DF2B27">
        <w:rPr>
          <w:rFonts w:asciiTheme="minorHAnsi" w:hAnsiTheme="minorHAnsi" w:cs="Calibri"/>
          <w:sz w:val="22"/>
        </w:rPr>
        <w:t>water play is discontinued during water restrictions, and the reasons explained to the children</w:t>
      </w:r>
    </w:p>
    <w:p w:rsidR="00DF2B27" w:rsidRPr="00DF2B27" w:rsidRDefault="00DF2B27" w:rsidP="00B77597">
      <w:pPr>
        <w:numPr>
          <w:ilvl w:val="1"/>
          <w:numId w:val="4"/>
        </w:numPr>
        <w:jc w:val="both"/>
        <w:rPr>
          <w:rFonts w:asciiTheme="minorHAnsi" w:hAnsiTheme="minorHAnsi" w:cs="Calibri"/>
          <w:sz w:val="22"/>
        </w:rPr>
      </w:pPr>
      <w:r w:rsidRPr="00DF2B27">
        <w:rPr>
          <w:rFonts w:asciiTheme="minorHAnsi" w:hAnsiTheme="minorHAnsi" w:cs="Calibri"/>
          <w:sz w:val="22"/>
        </w:rPr>
        <w:t xml:space="preserve">educators encourage children to turn taps off to avoid wastage </w:t>
      </w:r>
    </w:p>
    <w:p w:rsidR="00DF2B27" w:rsidRPr="00DF2B27" w:rsidRDefault="00DF2B27" w:rsidP="00B77597">
      <w:pPr>
        <w:numPr>
          <w:ilvl w:val="1"/>
          <w:numId w:val="4"/>
        </w:numPr>
        <w:jc w:val="both"/>
        <w:rPr>
          <w:rFonts w:asciiTheme="minorHAnsi" w:hAnsiTheme="minorHAnsi" w:cs="Calibri"/>
          <w:sz w:val="22"/>
        </w:rPr>
      </w:pPr>
      <w:r w:rsidRPr="00DF2B27">
        <w:rPr>
          <w:rFonts w:asciiTheme="minorHAnsi" w:hAnsiTheme="minorHAnsi" w:cs="Calibri"/>
          <w:sz w:val="22"/>
        </w:rPr>
        <w:t xml:space="preserve">water conservation posters are displayed in bathrooms. </w:t>
      </w:r>
    </w:p>
    <w:p w:rsidR="00DF2B27" w:rsidRPr="00DF2B27" w:rsidRDefault="00DF2B27" w:rsidP="00DF2B27">
      <w:pPr>
        <w:ind w:left="1080"/>
        <w:jc w:val="both"/>
        <w:rPr>
          <w:rFonts w:asciiTheme="minorHAnsi" w:hAnsiTheme="minorHAnsi" w:cs="Calibri"/>
          <w:sz w:val="22"/>
        </w:rPr>
      </w:pPr>
    </w:p>
    <w:p w:rsidR="00DF2B27" w:rsidRPr="00DF2B27" w:rsidRDefault="00DF2B27" w:rsidP="00B77597">
      <w:pPr>
        <w:numPr>
          <w:ilvl w:val="0"/>
          <w:numId w:val="5"/>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Educators model and intentionally teach children water conservation, and provide parents with information to continue the </w:t>
      </w:r>
      <w:r w:rsidR="00BC3C8C">
        <w:rPr>
          <w:rFonts w:asciiTheme="minorHAnsi" w:hAnsiTheme="minorHAnsi" w:cs="Calibri"/>
          <w:sz w:val="22"/>
        </w:rPr>
        <w:t>Service</w:t>
      </w:r>
      <w:r w:rsidRPr="00DF2B27">
        <w:rPr>
          <w:rFonts w:asciiTheme="minorHAnsi" w:hAnsiTheme="minorHAnsi" w:cs="Calibri"/>
          <w:sz w:val="22"/>
        </w:rPr>
        <w:t xml:space="preserve">’s conservation message at home. Refer to the </w:t>
      </w:r>
      <w:r w:rsidR="00BC3C8C">
        <w:rPr>
          <w:rFonts w:asciiTheme="minorHAnsi" w:hAnsiTheme="minorHAnsi" w:cs="Calibri"/>
          <w:sz w:val="22"/>
        </w:rPr>
        <w:t>Service</w:t>
      </w:r>
      <w:r w:rsidRPr="00DF2B27">
        <w:rPr>
          <w:rFonts w:asciiTheme="minorHAnsi" w:hAnsiTheme="minorHAnsi" w:cs="Calibri"/>
          <w:sz w:val="22"/>
        </w:rPr>
        <w:t>’s</w:t>
      </w:r>
      <w:r w:rsidRPr="00DF2B27">
        <w:rPr>
          <w:rFonts w:asciiTheme="minorHAnsi" w:hAnsiTheme="minorHAnsi" w:cs="Calibri"/>
          <w:i/>
          <w:sz w:val="22"/>
        </w:rPr>
        <w:t xml:space="preserve"> Environmental Sustainability Policy. </w:t>
      </w:r>
    </w:p>
    <w:p w:rsidR="00DF2B27" w:rsidRPr="000653D4" w:rsidRDefault="00DF2B27" w:rsidP="00DF2B27">
      <w:pPr>
        <w:autoSpaceDE w:val="0"/>
        <w:autoSpaceDN w:val="0"/>
        <w:adjustRightInd w:val="0"/>
        <w:ind w:left="360"/>
        <w:jc w:val="both"/>
        <w:rPr>
          <w:rFonts w:asciiTheme="minorHAnsi" w:hAnsiTheme="minorHAnsi" w:cs="Calibri"/>
          <w:sz w:val="22"/>
        </w:rPr>
      </w:pPr>
    </w:p>
    <w:p w:rsidR="00DF2B27" w:rsidRPr="000653D4" w:rsidRDefault="000653D4" w:rsidP="00B77597">
      <w:pPr>
        <w:numPr>
          <w:ilvl w:val="0"/>
          <w:numId w:val="5"/>
        </w:numPr>
        <w:jc w:val="both"/>
        <w:rPr>
          <w:rFonts w:asciiTheme="minorHAnsi" w:hAnsiTheme="minorHAnsi" w:cs="Calibri"/>
          <w:sz w:val="22"/>
        </w:rPr>
      </w:pPr>
      <w:r w:rsidRPr="000653D4">
        <w:rPr>
          <w:rFonts w:asciiTheme="minorHAnsi" w:hAnsiTheme="minorHAnsi" w:cs="Calibri"/>
          <w:sz w:val="22"/>
        </w:rPr>
        <w:t>Children do not wade or swim while at the Service.</w:t>
      </w:r>
      <w:r w:rsidR="00DF2B27" w:rsidRPr="000653D4">
        <w:rPr>
          <w:rFonts w:asciiTheme="minorHAnsi" w:hAnsiTheme="minorHAnsi" w:cs="Calibri"/>
          <w:sz w:val="22"/>
        </w:rPr>
        <w:t xml:space="preserve">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numPr>
          <w:ilvl w:val="0"/>
          <w:numId w:val="5"/>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Adults consume hot drinks in areas not accessed by children, including excursions.  </w:t>
      </w:r>
    </w:p>
    <w:p w:rsidR="00DF2B27" w:rsidRPr="00DF2B27" w:rsidRDefault="00DF2B27" w:rsidP="00DF2B27">
      <w:pPr>
        <w:autoSpaceDE w:val="0"/>
        <w:autoSpaceDN w:val="0"/>
        <w:adjustRightInd w:val="0"/>
        <w:jc w:val="both"/>
        <w:rPr>
          <w:rFonts w:asciiTheme="minorHAnsi" w:hAnsiTheme="minorHAnsi" w:cs="Calibri"/>
          <w:sz w:val="22"/>
        </w:rPr>
      </w:pPr>
    </w:p>
    <w:p w:rsidR="00DF2B27" w:rsidRPr="00DF2B27" w:rsidRDefault="00DF2B27" w:rsidP="00B77597">
      <w:pPr>
        <w:pStyle w:val="Pa8"/>
        <w:numPr>
          <w:ilvl w:val="0"/>
          <w:numId w:val="7"/>
        </w:numPr>
        <w:spacing w:after="220"/>
        <w:jc w:val="both"/>
        <w:rPr>
          <w:rFonts w:asciiTheme="minorHAnsi" w:hAnsiTheme="minorHAnsi" w:cs="Calibri"/>
          <w:sz w:val="22"/>
          <w:szCs w:val="22"/>
        </w:rPr>
      </w:pPr>
      <w:r w:rsidRPr="00DF2B27">
        <w:rPr>
          <w:rFonts w:asciiTheme="minorHAnsi" w:hAnsiTheme="minorHAnsi" w:cs="Calibri"/>
          <w:sz w:val="22"/>
          <w:szCs w:val="22"/>
        </w:rPr>
        <w:t xml:space="preserve">Grey water systems or water tanks are </w:t>
      </w:r>
      <w:proofErr w:type="spellStart"/>
      <w:r w:rsidRPr="00DF2B27">
        <w:rPr>
          <w:rFonts w:asciiTheme="minorHAnsi" w:hAnsiTheme="minorHAnsi" w:cs="Calibri"/>
          <w:sz w:val="22"/>
          <w:szCs w:val="22"/>
        </w:rPr>
        <w:t>labeled</w:t>
      </w:r>
      <w:proofErr w:type="spellEnd"/>
      <w:r w:rsidRPr="00DF2B27">
        <w:rPr>
          <w:rFonts w:asciiTheme="minorHAnsi" w:hAnsiTheme="minorHAnsi" w:cs="Calibri"/>
          <w:sz w:val="22"/>
          <w:szCs w:val="22"/>
        </w:rPr>
        <w:t xml:space="preserve"> with “do not drink” signage and the children are supervised to ensure that they do not play in or drink this water.  </w:t>
      </w:r>
    </w:p>
    <w:p w:rsidR="00DF2B27" w:rsidRPr="00DF2B27" w:rsidRDefault="00DF2B27" w:rsidP="00B77597">
      <w:pPr>
        <w:pStyle w:val="Default"/>
        <w:numPr>
          <w:ilvl w:val="0"/>
          <w:numId w:val="7"/>
        </w:numPr>
        <w:jc w:val="both"/>
        <w:rPr>
          <w:rFonts w:asciiTheme="minorHAnsi" w:hAnsiTheme="minorHAnsi" w:cs="Calibri"/>
          <w:color w:val="auto"/>
          <w:sz w:val="22"/>
          <w:szCs w:val="22"/>
        </w:rPr>
      </w:pPr>
      <w:r w:rsidRPr="00DF2B27">
        <w:rPr>
          <w:rFonts w:asciiTheme="minorHAnsi" w:hAnsiTheme="minorHAnsi" w:cs="Calibri"/>
          <w:color w:val="auto"/>
          <w:sz w:val="22"/>
          <w:szCs w:val="22"/>
        </w:rPr>
        <w:t xml:space="preserve">The temperature of hot water accessible to children is maintained at 38 Celsius or below in accordance with the AS 3500.4. Thermostatic valves are tested and serviced annually by a plumber, and this action recorded. </w:t>
      </w:r>
    </w:p>
    <w:p w:rsidR="00DF2B27" w:rsidRPr="00B73E00" w:rsidRDefault="00AF70DA" w:rsidP="00B73E00">
      <w:pPr>
        <w:pBdr>
          <w:bottom w:val="single" w:sz="4" w:space="1" w:color="auto"/>
        </w:pBdr>
        <w:jc w:val="left"/>
        <w:rPr>
          <w:rFonts w:asciiTheme="minorHAnsi" w:hAnsiTheme="minorHAnsi" w:cs="Calibri"/>
          <w:b/>
          <w:sz w:val="22"/>
        </w:rPr>
      </w:pPr>
      <w:r w:rsidRPr="00825DD2">
        <w:rPr>
          <w:rFonts w:asciiTheme="minorHAnsi" w:hAnsiTheme="minorHAnsi" w:cs="Calibri"/>
          <w:sz w:val="22"/>
        </w:rPr>
        <w:t xml:space="preserve"> </w:t>
      </w:r>
    </w:p>
    <w:p w:rsidR="00B73E00" w:rsidRDefault="00B73E00" w:rsidP="00421FF9">
      <w:pPr>
        <w:pBdr>
          <w:bottom w:val="single" w:sz="4" w:space="1" w:color="auto"/>
        </w:pBdr>
        <w:jc w:val="left"/>
        <w:rPr>
          <w:rFonts w:asciiTheme="minorHAnsi" w:hAnsiTheme="minorHAnsi" w:cs="Calibri"/>
          <w:sz w:val="22"/>
        </w:rPr>
      </w:pPr>
    </w:p>
    <w:p w:rsidR="00B73E00" w:rsidRDefault="00B73E00" w:rsidP="00421FF9">
      <w:pPr>
        <w:pBdr>
          <w:bottom w:val="single" w:sz="4" w:space="1" w:color="auto"/>
        </w:pBdr>
        <w:jc w:val="left"/>
        <w:rPr>
          <w:rFonts w:asciiTheme="minorHAnsi" w:hAnsiTheme="minorHAnsi" w:cs="Calibri"/>
          <w:sz w:val="22"/>
        </w:rPr>
      </w:pPr>
    </w:p>
    <w:p w:rsidR="00B73E00" w:rsidRDefault="00B73E00" w:rsidP="00421FF9">
      <w:pPr>
        <w:pBdr>
          <w:bottom w:val="single" w:sz="4" w:space="1" w:color="auto"/>
        </w:pBdr>
        <w:jc w:val="left"/>
        <w:rPr>
          <w:rFonts w:asciiTheme="minorHAnsi" w:hAnsiTheme="minorHAnsi" w:cs="Calibri"/>
          <w:sz w:val="22"/>
        </w:rPr>
      </w:pPr>
    </w:p>
    <w:p w:rsidR="00B73E00" w:rsidRDefault="00B73E00" w:rsidP="00421FF9">
      <w:pPr>
        <w:pBdr>
          <w:bottom w:val="single" w:sz="4" w:space="1" w:color="auto"/>
        </w:pBdr>
        <w:jc w:val="left"/>
        <w:rPr>
          <w:rFonts w:asciiTheme="minorHAnsi" w:hAnsiTheme="minorHAnsi" w:cs="Calibri"/>
          <w:sz w:val="22"/>
        </w:rPr>
      </w:pPr>
    </w:p>
    <w:p w:rsidR="00B73E00" w:rsidRDefault="00B73E00" w:rsidP="00421FF9">
      <w:pPr>
        <w:pBdr>
          <w:bottom w:val="single" w:sz="4" w:space="1" w:color="auto"/>
        </w:pBdr>
        <w:jc w:val="left"/>
        <w:rPr>
          <w:rFonts w:asciiTheme="minorHAnsi" w:hAnsiTheme="minorHAnsi" w:cs="Calibri"/>
          <w:sz w:val="22"/>
        </w:rPr>
      </w:pPr>
    </w:p>
    <w:p w:rsidR="00DF2B27" w:rsidRPr="00DF2B27" w:rsidRDefault="00DF2B27" w:rsidP="00421FF9">
      <w:pPr>
        <w:pBdr>
          <w:bottom w:val="single" w:sz="4" w:space="1" w:color="auto"/>
        </w:pBdr>
        <w:jc w:val="left"/>
        <w:rPr>
          <w:rFonts w:asciiTheme="minorHAnsi" w:hAnsiTheme="minorHAnsi" w:cs="Calibri"/>
          <w:sz w:val="22"/>
        </w:rPr>
      </w:pPr>
      <w:bookmarkStart w:id="2" w:name="_GoBack"/>
      <w:bookmarkEnd w:id="2"/>
      <w:r w:rsidRPr="00DF2B27">
        <w:rPr>
          <w:rFonts w:asciiTheme="minorHAnsi" w:hAnsiTheme="minorHAnsi" w:cs="Calibri"/>
          <w:b/>
          <w:sz w:val="22"/>
        </w:rPr>
        <w:lastRenderedPageBreak/>
        <w:t>Responsibilities of parents</w:t>
      </w:r>
    </w:p>
    <w:p w:rsidR="00DF2B27" w:rsidRPr="00DF2B27" w:rsidRDefault="00DF2B27" w:rsidP="00DF2B27">
      <w:pPr>
        <w:jc w:val="both"/>
        <w:rPr>
          <w:rFonts w:asciiTheme="minorHAnsi" w:hAnsiTheme="minorHAnsi" w:cs="Calibri"/>
          <w:i/>
          <w:sz w:val="22"/>
        </w:rPr>
      </w:pPr>
    </w:p>
    <w:p w:rsidR="00DF2B27" w:rsidRPr="00DF2B27" w:rsidRDefault="00DF2B27" w:rsidP="00B77597">
      <w:pPr>
        <w:numPr>
          <w:ilvl w:val="0"/>
          <w:numId w:val="2"/>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To provide a spare set of clothing for their child in the event that the child engages in water play and becomes uncomfortably wet. </w:t>
      </w:r>
    </w:p>
    <w:p w:rsidR="00DF2B27" w:rsidRPr="00DF2B27" w:rsidRDefault="00DF2B27" w:rsidP="00DF2B27">
      <w:pPr>
        <w:autoSpaceDE w:val="0"/>
        <w:autoSpaceDN w:val="0"/>
        <w:adjustRightInd w:val="0"/>
        <w:ind w:left="360"/>
        <w:jc w:val="both"/>
        <w:rPr>
          <w:rFonts w:asciiTheme="minorHAnsi" w:hAnsiTheme="minorHAnsi" w:cs="Calibri"/>
          <w:sz w:val="22"/>
        </w:rPr>
      </w:pPr>
    </w:p>
    <w:p w:rsidR="00DF2B27" w:rsidRPr="00DF2B27" w:rsidRDefault="00DF2B27" w:rsidP="00B77597">
      <w:pPr>
        <w:numPr>
          <w:ilvl w:val="0"/>
          <w:numId w:val="2"/>
        </w:numPr>
        <w:autoSpaceDE w:val="0"/>
        <w:autoSpaceDN w:val="0"/>
        <w:adjustRightInd w:val="0"/>
        <w:jc w:val="both"/>
        <w:rPr>
          <w:rFonts w:asciiTheme="minorHAnsi" w:hAnsiTheme="minorHAnsi" w:cs="Calibri"/>
          <w:sz w:val="22"/>
        </w:rPr>
      </w:pPr>
      <w:r w:rsidRPr="00DF2B27">
        <w:rPr>
          <w:rFonts w:asciiTheme="minorHAnsi" w:hAnsiTheme="minorHAnsi" w:cs="Calibri"/>
          <w:sz w:val="22"/>
        </w:rPr>
        <w:t xml:space="preserve">To continue the </w:t>
      </w:r>
      <w:r w:rsidR="00BC3C8C">
        <w:rPr>
          <w:rFonts w:asciiTheme="minorHAnsi" w:hAnsiTheme="minorHAnsi" w:cs="Calibri"/>
          <w:sz w:val="22"/>
        </w:rPr>
        <w:t>Service</w:t>
      </w:r>
      <w:r w:rsidRPr="00DF2B27">
        <w:rPr>
          <w:rFonts w:asciiTheme="minorHAnsi" w:hAnsiTheme="minorHAnsi" w:cs="Calibri"/>
          <w:sz w:val="22"/>
        </w:rPr>
        <w:t xml:space="preserve">’s water conservation message at home. </w:t>
      </w:r>
    </w:p>
    <w:p w:rsidR="00DF2B27" w:rsidRDefault="00DF2B27" w:rsidP="00DF2B27">
      <w:pPr>
        <w:autoSpaceDE w:val="0"/>
        <w:autoSpaceDN w:val="0"/>
        <w:adjustRightInd w:val="0"/>
        <w:ind w:left="360"/>
        <w:jc w:val="both"/>
        <w:rPr>
          <w:rFonts w:asciiTheme="minorHAnsi" w:hAnsiTheme="minorHAnsi" w:cs="Calibri"/>
          <w:sz w:val="22"/>
          <w:lang w:eastAsia="en-AU"/>
        </w:rPr>
      </w:pPr>
    </w:p>
    <w:p w:rsidR="00B4179A" w:rsidRPr="00DF2B27" w:rsidRDefault="00B4179A" w:rsidP="00B4179A">
      <w:pPr>
        <w:pBdr>
          <w:bottom w:val="single" w:sz="4" w:space="1" w:color="auto"/>
        </w:pBdr>
        <w:jc w:val="left"/>
        <w:rPr>
          <w:rFonts w:asciiTheme="minorHAnsi" w:hAnsiTheme="minorHAnsi" w:cs="Calibri"/>
          <w:b/>
          <w:sz w:val="22"/>
        </w:rPr>
      </w:pPr>
      <w:r>
        <w:rPr>
          <w:rFonts w:asciiTheme="minorHAnsi" w:hAnsiTheme="minorHAnsi" w:cs="Calibri"/>
          <w:b/>
          <w:sz w:val="22"/>
        </w:rPr>
        <w:t xml:space="preserve">Procedures and </w:t>
      </w:r>
      <w:r w:rsidR="006A01BF">
        <w:rPr>
          <w:rFonts w:asciiTheme="minorHAnsi" w:hAnsiTheme="minorHAnsi" w:cs="Calibri"/>
          <w:b/>
          <w:sz w:val="22"/>
        </w:rPr>
        <w:t>f</w:t>
      </w:r>
      <w:r>
        <w:rPr>
          <w:rFonts w:asciiTheme="minorHAnsi" w:hAnsiTheme="minorHAnsi" w:cs="Calibri"/>
          <w:b/>
          <w:sz w:val="22"/>
        </w:rPr>
        <w:t>orms</w:t>
      </w:r>
    </w:p>
    <w:p w:rsidR="00B4179A" w:rsidRPr="00DF2B27" w:rsidRDefault="00B4179A" w:rsidP="00B4179A">
      <w:pPr>
        <w:jc w:val="both"/>
        <w:rPr>
          <w:rFonts w:asciiTheme="minorHAnsi" w:hAnsiTheme="minorHAnsi" w:cs="Calibri"/>
          <w:sz w:val="22"/>
        </w:rPr>
      </w:pPr>
    </w:p>
    <w:p w:rsidR="00B4179A" w:rsidRDefault="00B4179A" w:rsidP="00B4179A">
      <w:pPr>
        <w:numPr>
          <w:ilvl w:val="0"/>
          <w:numId w:val="3"/>
        </w:numPr>
        <w:jc w:val="both"/>
        <w:rPr>
          <w:rFonts w:asciiTheme="minorHAnsi" w:hAnsiTheme="minorHAnsi" w:cs="Calibri"/>
          <w:sz w:val="22"/>
        </w:rPr>
      </w:pPr>
      <w:r>
        <w:rPr>
          <w:rFonts w:asciiTheme="minorHAnsi" w:hAnsiTheme="minorHAnsi" w:cs="Calibri"/>
          <w:sz w:val="22"/>
        </w:rPr>
        <w:t>Excursion Risk Management</w:t>
      </w:r>
    </w:p>
    <w:p w:rsidR="00B4179A" w:rsidRPr="00DF2B27" w:rsidRDefault="00B4179A" w:rsidP="00DF2B27">
      <w:pPr>
        <w:autoSpaceDE w:val="0"/>
        <w:autoSpaceDN w:val="0"/>
        <w:adjustRightInd w:val="0"/>
        <w:ind w:left="360"/>
        <w:jc w:val="both"/>
        <w:rPr>
          <w:rFonts w:asciiTheme="minorHAnsi" w:hAnsiTheme="minorHAnsi" w:cs="Calibri"/>
          <w:sz w:val="22"/>
          <w:lang w:eastAsia="en-AU"/>
        </w:rPr>
      </w:pPr>
    </w:p>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Links to other policies</w:t>
      </w:r>
    </w:p>
    <w:p w:rsidR="00DF2B27" w:rsidRPr="00DF2B27" w:rsidRDefault="00DF2B27" w:rsidP="00DF2B27">
      <w:pPr>
        <w:jc w:val="both"/>
        <w:rPr>
          <w:rFonts w:asciiTheme="minorHAnsi" w:hAnsiTheme="minorHAnsi" w:cs="Calibri"/>
          <w:sz w:val="22"/>
        </w:rPr>
      </w:pP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 xml:space="preserve">Animal Policy </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Enrolment and Orientation Policy</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Educational Program Policy</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Environmental Sustainability Policy</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Excursion Policy</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Incident, Injury, Trauma and Illness Policy</w:t>
      </w:r>
    </w:p>
    <w:p w:rsidR="00DF2B27" w:rsidRPr="00DF2B27" w:rsidRDefault="00DF2B27" w:rsidP="00B77597">
      <w:pPr>
        <w:numPr>
          <w:ilvl w:val="0"/>
          <w:numId w:val="3"/>
        </w:numPr>
        <w:jc w:val="both"/>
        <w:rPr>
          <w:rFonts w:asciiTheme="minorHAnsi" w:hAnsiTheme="minorHAnsi" w:cs="Calibri"/>
          <w:sz w:val="22"/>
        </w:rPr>
      </w:pPr>
      <w:r w:rsidRPr="00DF2B27">
        <w:rPr>
          <w:rFonts w:asciiTheme="minorHAnsi" w:hAnsiTheme="minorHAnsi" w:cs="Calibri"/>
          <w:sz w:val="22"/>
        </w:rPr>
        <w:t>Supervision Policy</w:t>
      </w:r>
    </w:p>
    <w:p w:rsidR="00DF2B27" w:rsidRPr="00DF2B27" w:rsidRDefault="00DF2B27" w:rsidP="00DF2B27">
      <w:pPr>
        <w:ind w:left="360"/>
        <w:jc w:val="both"/>
        <w:rPr>
          <w:rFonts w:asciiTheme="minorHAnsi" w:hAnsiTheme="minorHAnsi" w:cs="Calibri"/>
          <w:sz w:val="22"/>
        </w:rPr>
      </w:pPr>
    </w:p>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Links Education and Care</w:t>
      </w:r>
      <w:r w:rsidR="00421FF9">
        <w:rPr>
          <w:rFonts w:asciiTheme="minorHAnsi" w:hAnsiTheme="minorHAnsi" w:cs="Calibri"/>
          <w:b/>
          <w:sz w:val="22"/>
        </w:rPr>
        <w:t xml:space="preserve"> Services </w:t>
      </w:r>
      <w:r w:rsidRPr="00DF2B27">
        <w:rPr>
          <w:rFonts w:asciiTheme="minorHAnsi" w:hAnsiTheme="minorHAnsi" w:cs="Calibri"/>
          <w:b/>
          <w:sz w:val="22"/>
        </w:rPr>
        <w:t>National Regulations 2011, National Quality Standard 2011</w:t>
      </w:r>
    </w:p>
    <w:p w:rsidR="00DF2B27" w:rsidRPr="00DF2B27" w:rsidRDefault="00DF2B27" w:rsidP="00DF2B27">
      <w:pPr>
        <w:pStyle w:val="NoSpacing"/>
        <w:jc w:val="both"/>
        <w:rPr>
          <w:rFonts w:asciiTheme="minorHAnsi" w:hAnsiTheme="minorHAnsi" w:cs="Calibri"/>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3"/>
        <w:gridCol w:w="822"/>
        <w:gridCol w:w="7361"/>
      </w:tblGrid>
      <w:tr w:rsidR="00DF2B27" w:rsidRPr="00DF2B27" w:rsidTr="005E18A5">
        <w:tc>
          <w:tcPr>
            <w:tcW w:w="673" w:type="dxa"/>
            <w:vMerge w:val="restart"/>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Regs</w:t>
            </w:r>
          </w:p>
        </w:tc>
        <w:tc>
          <w:tcPr>
            <w:tcW w:w="822"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25</w:t>
            </w:r>
          </w:p>
        </w:tc>
        <w:tc>
          <w:tcPr>
            <w:tcW w:w="7361" w:type="dxa"/>
          </w:tcPr>
          <w:p w:rsidR="00DF2B27" w:rsidRPr="00DF2B27" w:rsidRDefault="00DF2B27" w:rsidP="005E18A5">
            <w:pPr>
              <w:pStyle w:val="Pa7"/>
              <w:spacing w:before="40" w:after="40"/>
              <w:jc w:val="both"/>
              <w:rPr>
                <w:rStyle w:val="A15"/>
                <w:rFonts w:asciiTheme="minorHAnsi" w:hAnsiTheme="minorHAnsi" w:cs="Calibri"/>
                <w:sz w:val="18"/>
                <w:szCs w:val="18"/>
              </w:rPr>
            </w:pPr>
            <w:r w:rsidRPr="00DF2B27">
              <w:rPr>
                <w:rStyle w:val="A15"/>
                <w:rFonts w:asciiTheme="minorHAnsi" w:hAnsiTheme="minorHAnsi" w:cs="Calibri"/>
                <w:sz w:val="18"/>
                <w:szCs w:val="18"/>
              </w:rPr>
              <w:t>Additional information about proposed education and care service premises</w:t>
            </w:r>
          </w:p>
        </w:tc>
      </w:tr>
      <w:tr w:rsidR="00DF2B27" w:rsidRPr="00DF2B27" w:rsidTr="005E18A5">
        <w:tc>
          <w:tcPr>
            <w:tcW w:w="673" w:type="dxa"/>
            <w:vMerge/>
          </w:tcPr>
          <w:p w:rsidR="00DF2B27" w:rsidRPr="00DF2B27" w:rsidRDefault="00DF2B27" w:rsidP="005E18A5">
            <w:pPr>
              <w:jc w:val="both"/>
              <w:rPr>
                <w:rFonts w:asciiTheme="minorHAnsi" w:hAnsiTheme="minorHAnsi" w:cs="Calibri"/>
                <w:sz w:val="18"/>
                <w:szCs w:val="18"/>
              </w:rPr>
            </w:pPr>
          </w:p>
        </w:tc>
        <w:tc>
          <w:tcPr>
            <w:tcW w:w="822"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100</w:t>
            </w:r>
          </w:p>
        </w:tc>
        <w:tc>
          <w:tcPr>
            <w:tcW w:w="7361" w:type="dxa"/>
          </w:tcPr>
          <w:p w:rsidR="00DF2B27" w:rsidRPr="00DF2B27" w:rsidRDefault="00DF2B27" w:rsidP="005E18A5">
            <w:pPr>
              <w:pStyle w:val="Pa7"/>
              <w:spacing w:before="40" w:after="40"/>
              <w:jc w:val="both"/>
              <w:rPr>
                <w:rStyle w:val="A15"/>
                <w:rFonts w:asciiTheme="minorHAnsi" w:hAnsiTheme="minorHAnsi" w:cs="Calibri"/>
                <w:sz w:val="18"/>
                <w:szCs w:val="18"/>
              </w:rPr>
            </w:pPr>
            <w:r w:rsidRPr="00DF2B27">
              <w:rPr>
                <w:rStyle w:val="A15"/>
                <w:rFonts w:asciiTheme="minorHAnsi" w:hAnsiTheme="minorHAnsi" w:cs="Calibri"/>
                <w:sz w:val="18"/>
                <w:szCs w:val="18"/>
              </w:rPr>
              <w:t>Risk assessment must be conducted before excursion</w:t>
            </w:r>
          </w:p>
        </w:tc>
      </w:tr>
      <w:tr w:rsidR="00DF2B27" w:rsidRPr="00DF2B27" w:rsidTr="005E18A5">
        <w:tc>
          <w:tcPr>
            <w:tcW w:w="673" w:type="dxa"/>
            <w:vMerge/>
          </w:tcPr>
          <w:p w:rsidR="00DF2B27" w:rsidRPr="00DF2B27" w:rsidRDefault="00DF2B27" w:rsidP="005E18A5">
            <w:pPr>
              <w:jc w:val="both"/>
              <w:rPr>
                <w:rFonts w:asciiTheme="minorHAnsi" w:hAnsiTheme="minorHAnsi" w:cs="Calibri"/>
                <w:sz w:val="18"/>
                <w:szCs w:val="18"/>
              </w:rPr>
            </w:pPr>
          </w:p>
        </w:tc>
        <w:tc>
          <w:tcPr>
            <w:tcW w:w="822"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101</w:t>
            </w:r>
          </w:p>
        </w:tc>
        <w:tc>
          <w:tcPr>
            <w:tcW w:w="7361" w:type="dxa"/>
          </w:tcPr>
          <w:p w:rsidR="00DF2B27" w:rsidRPr="00DF2B27" w:rsidRDefault="00DF2B27" w:rsidP="005E18A5">
            <w:pPr>
              <w:pStyle w:val="Pa7"/>
              <w:spacing w:before="40" w:after="40"/>
              <w:jc w:val="both"/>
              <w:rPr>
                <w:rStyle w:val="A15"/>
                <w:rFonts w:asciiTheme="minorHAnsi" w:hAnsiTheme="minorHAnsi" w:cs="Calibri"/>
                <w:sz w:val="18"/>
                <w:szCs w:val="18"/>
              </w:rPr>
            </w:pPr>
            <w:r w:rsidRPr="00DF2B27">
              <w:rPr>
                <w:rStyle w:val="A15"/>
                <w:rFonts w:asciiTheme="minorHAnsi" w:hAnsiTheme="minorHAnsi" w:cs="Calibri"/>
                <w:sz w:val="18"/>
                <w:szCs w:val="18"/>
              </w:rPr>
              <w:t>Conduct of risk assessment for excursion</w:t>
            </w:r>
          </w:p>
        </w:tc>
      </w:tr>
      <w:tr w:rsidR="00DF2B27" w:rsidRPr="00DF2B27" w:rsidTr="005E18A5">
        <w:tc>
          <w:tcPr>
            <w:tcW w:w="673" w:type="dxa"/>
            <w:vMerge/>
          </w:tcPr>
          <w:p w:rsidR="00DF2B27" w:rsidRPr="00DF2B27" w:rsidRDefault="00DF2B27" w:rsidP="005E18A5">
            <w:pPr>
              <w:jc w:val="both"/>
              <w:rPr>
                <w:rFonts w:asciiTheme="minorHAnsi" w:hAnsiTheme="minorHAnsi" w:cs="Calibri"/>
                <w:sz w:val="18"/>
                <w:szCs w:val="18"/>
              </w:rPr>
            </w:pPr>
          </w:p>
        </w:tc>
        <w:tc>
          <w:tcPr>
            <w:tcW w:w="822"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168</w:t>
            </w:r>
          </w:p>
        </w:tc>
        <w:tc>
          <w:tcPr>
            <w:tcW w:w="7361" w:type="dxa"/>
          </w:tcPr>
          <w:p w:rsidR="00DF2B27" w:rsidRPr="00DF2B27" w:rsidRDefault="00DF2B27" w:rsidP="005E18A5">
            <w:pPr>
              <w:pStyle w:val="Pa7"/>
              <w:spacing w:before="40" w:after="40"/>
              <w:jc w:val="both"/>
              <w:rPr>
                <w:rStyle w:val="A15"/>
                <w:rFonts w:asciiTheme="minorHAnsi" w:hAnsiTheme="minorHAnsi" w:cs="Calibri"/>
                <w:sz w:val="18"/>
                <w:szCs w:val="18"/>
              </w:rPr>
            </w:pPr>
            <w:r w:rsidRPr="00DF2B27">
              <w:rPr>
                <w:rStyle w:val="A15"/>
                <w:rFonts w:asciiTheme="minorHAnsi" w:hAnsiTheme="minorHAnsi" w:cs="Calibri"/>
                <w:sz w:val="18"/>
                <w:szCs w:val="18"/>
              </w:rPr>
              <w:t>Education and care service must have policies and procedures</w:t>
            </w:r>
          </w:p>
        </w:tc>
      </w:tr>
    </w:tbl>
    <w:p w:rsidR="00DF2B27" w:rsidRPr="00DF2B27" w:rsidRDefault="00DF2B27" w:rsidP="00DF2B27">
      <w:pPr>
        <w:pStyle w:val="NoSpacing"/>
        <w:jc w:val="both"/>
        <w:rPr>
          <w:rFonts w:asciiTheme="minorHAnsi" w:hAnsiTheme="minorHAnsi" w:cs="Calibri"/>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6"/>
        <w:gridCol w:w="842"/>
        <w:gridCol w:w="7348"/>
      </w:tblGrid>
      <w:tr w:rsidR="00DF2B27" w:rsidRPr="00DF2B27" w:rsidTr="005E18A5">
        <w:tc>
          <w:tcPr>
            <w:tcW w:w="666"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QA</w:t>
            </w:r>
          </w:p>
        </w:tc>
        <w:tc>
          <w:tcPr>
            <w:tcW w:w="842" w:type="dxa"/>
          </w:tcPr>
          <w:p w:rsidR="00DF2B27" w:rsidRPr="00DF2B27" w:rsidRDefault="00DF2B27" w:rsidP="005E18A5">
            <w:pPr>
              <w:jc w:val="both"/>
              <w:rPr>
                <w:rFonts w:asciiTheme="minorHAnsi" w:hAnsiTheme="minorHAnsi" w:cs="Calibri"/>
                <w:sz w:val="18"/>
                <w:szCs w:val="18"/>
              </w:rPr>
            </w:pPr>
            <w:r w:rsidRPr="00DF2B27">
              <w:rPr>
                <w:rFonts w:asciiTheme="minorHAnsi" w:hAnsiTheme="minorHAnsi" w:cs="Calibri"/>
                <w:sz w:val="18"/>
                <w:szCs w:val="18"/>
              </w:rPr>
              <w:t>2.1.1</w:t>
            </w:r>
          </w:p>
        </w:tc>
        <w:tc>
          <w:tcPr>
            <w:tcW w:w="7348" w:type="dxa"/>
          </w:tcPr>
          <w:p w:rsidR="00DF2B27"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Each child’s wellbeing and comfort is provided for, including appropriate opportunities to meet each child’s need for sleep, rest and relaxation</w:t>
            </w:r>
          </w:p>
        </w:tc>
      </w:tr>
      <w:tr w:rsidR="00FB25B0" w:rsidRPr="00DF2B27" w:rsidTr="005E18A5">
        <w:tc>
          <w:tcPr>
            <w:tcW w:w="666" w:type="dxa"/>
            <w:vMerge w:val="restart"/>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2.1.</w:t>
            </w:r>
            <w:r>
              <w:rPr>
                <w:rFonts w:asciiTheme="minorHAnsi" w:hAnsiTheme="minorHAnsi" w:cs="Calibri"/>
                <w:sz w:val="18"/>
                <w:szCs w:val="18"/>
              </w:rPr>
              <w:t>2</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Effective illness and injury management and hygiene practices are promoted and implemented</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2.</w:t>
            </w:r>
            <w:r>
              <w:rPr>
                <w:rFonts w:asciiTheme="minorHAnsi" w:hAnsiTheme="minorHAnsi" w:cs="Calibri"/>
                <w:sz w:val="18"/>
                <w:szCs w:val="18"/>
              </w:rPr>
              <w:t>2.1</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At all times, reasonable precautions and adequate supervision ensure children are protected from harm and hazard</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3.1.1</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Outdoor and indoor spaces, buildings, fixtures and fittings are suitable for their purpose, including supporting the access of every child</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3.1.2</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Premises, furniture and equipment are safe, clean and well maintained</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3.2.1</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Outdoor and indoor spaces are organised and adapted to support every child's participation and to engage every child in quality experiences in both built and natural environments</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3.2.2</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Resources, materials and equipment allow for multiple uses, are sufficient in number, and enable every child to engage in play-based learning</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3.</w:t>
            </w:r>
            <w:r>
              <w:rPr>
                <w:rFonts w:asciiTheme="minorHAnsi" w:hAnsiTheme="minorHAnsi" w:cs="Calibri"/>
                <w:sz w:val="18"/>
                <w:szCs w:val="18"/>
              </w:rPr>
              <w:t>2.3</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The service cares for the environment and supports children to become environmentally responsible</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6.1.1</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Families are supported from enrolment to be involved in the service and contribute to service decisions</w:t>
            </w:r>
            <w:r w:rsidRPr="00DF2B27">
              <w:rPr>
                <w:rFonts w:asciiTheme="minorHAnsi" w:hAnsiTheme="minorHAnsi" w:cs="Calibri"/>
                <w:sz w:val="18"/>
                <w:szCs w:val="18"/>
              </w:rPr>
              <w:t xml:space="preserve"> </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6.1.3</w:t>
            </w:r>
            <w:r>
              <w:rPr>
                <w:rFonts w:asciiTheme="minorHAnsi" w:hAnsiTheme="minorHAnsi" w:cs="Calibri"/>
                <w:sz w:val="18"/>
                <w:szCs w:val="18"/>
              </w:rPr>
              <w:t xml:space="preserve"> </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Current information is available to families about the service and relevant community services and resources to support parenting and family wellbeing</w:t>
            </w:r>
          </w:p>
        </w:tc>
      </w:tr>
      <w:tr w:rsidR="00FB25B0" w:rsidRPr="00DF2B27" w:rsidTr="005E18A5">
        <w:tc>
          <w:tcPr>
            <w:tcW w:w="666" w:type="dxa"/>
            <w:vMerge/>
          </w:tcPr>
          <w:p w:rsidR="00FB25B0" w:rsidRPr="00DF2B27" w:rsidRDefault="00FB25B0" w:rsidP="005E18A5">
            <w:pPr>
              <w:jc w:val="both"/>
              <w:rPr>
                <w:rFonts w:asciiTheme="minorHAnsi" w:hAnsiTheme="minorHAnsi" w:cs="Calibri"/>
                <w:sz w:val="18"/>
                <w:szCs w:val="18"/>
              </w:rPr>
            </w:pPr>
          </w:p>
        </w:tc>
        <w:tc>
          <w:tcPr>
            <w:tcW w:w="842" w:type="dxa"/>
          </w:tcPr>
          <w:p w:rsidR="00FB25B0" w:rsidRPr="00DF2B27" w:rsidRDefault="00FB25B0" w:rsidP="005E18A5">
            <w:pPr>
              <w:jc w:val="both"/>
              <w:rPr>
                <w:rFonts w:asciiTheme="minorHAnsi" w:hAnsiTheme="minorHAnsi" w:cs="Calibri"/>
                <w:sz w:val="18"/>
                <w:szCs w:val="18"/>
              </w:rPr>
            </w:pPr>
            <w:r w:rsidRPr="00DF2B27">
              <w:rPr>
                <w:rFonts w:asciiTheme="minorHAnsi" w:hAnsiTheme="minorHAnsi" w:cs="Calibri"/>
                <w:sz w:val="18"/>
                <w:szCs w:val="18"/>
              </w:rPr>
              <w:t>7.2.</w:t>
            </w:r>
            <w:r>
              <w:rPr>
                <w:rFonts w:asciiTheme="minorHAnsi" w:hAnsiTheme="minorHAnsi" w:cs="Calibri"/>
                <w:sz w:val="18"/>
                <w:szCs w:val="18"/>
              </w:rPr>
              <w:t>3</w:t>
            </w:r>
          </w:p>
        </w:tc>
        <w:tc>
          <w:tcPr>
            <w:tcW w:w="7348" w:type="dxa"/>
          </w:tcPr>
          <w:p w:rsidR="00FB25B0" w:rsidRPr="00DF2B27" w:rsidRDefault="00FB25B0" w:rsidP="005E18A5">
            <w:pPr>
              <w:jc w:val="both"/>
              <w:rPr>
                <w:rFonts w:asciiTheme="minorHAnsi" w:hAnsiTheme="minorHAnsi" w:cs="Calibri"/>
                <w:sz w:val="18"/>
                <w:szCs w:val="18"/>
              </w:rPr>
            </w:pPr>
            <w:r w:rsidRPr="00FB25B0">
              <w:rPr>
                <w:rFonts w:asciiTheme="minorHAnsi" w:hAnsiTheme="minorHAnsi" w:cs="Calibri"/>
                <w:sz w:val="18"/>
                <w:szCs w:val="18"/>
              </w:rPr>
              <w:t>Roles and responsibilities are clearly defined, and understood, and support effective decision-making and operation of the service</w:t>
            </w:r>
          </w:p>
        </w:tc>
      </w:tr>
    </w:tbl>
    <w:p w:rsidR="00DF2B27" w:rsidRPr="00DF2B27" w:rsidRDefault="00DF2B27" w:rsidP="00421FF9">
      <w:pPr>
        <w:pBdr>
          <w:bottom w:val="single" w:sz="4" w:space="1" w:color="auto"/>
        </w:pBdr>
        <w:jc w:val="left"/>
        <w:rPr>
          <w:rFonts w:asciiTheme="minorHAnsi" w:hAnsiTheme="minorHAnsi" w:cs="Calibri"/>
          <w:b/>
          <w:sz w:val="22"/>
        </w:rPr>
      </w:pPr>
      <w:r>
        <w:rPr>
          <w:rFonts w:asciiTheme="minorHAnsi" w:hAnsiTheme="minorHAnsi" w:cs="Calibri"/>
          <w:b/>
          <w:sz w:val="22"/>
        </w:rPr>
        <w:br w:type="page"/>
      </w:r>
      <w:r w:rsidRPr="00DF2B27">
        <w:rPr>
          <w:rFonts w:asciiTheme="minorHAnsi" w:hAnsiTheme="minorHAnsi" w:cs="Calibri"/>
          <w:b/>
          <w:sz w:val="22"/>
        </w:rPr>
        <w:lastRenderedPageBreak/>
        <w:t>Sources</w:t>
      </w:r>
    </w:p>
    <w:p w:rsidR="0010359C" w:rsidRDefault="0010359C" w:rsidP="0010359C">
      <w:pPr>
        <w:pStyle w:val="ListParagraph"/>
        <w:jc w:val="left"/>
        <w:rPr>
          <w:rFonts w:asciiTheme="minorHAnsi" w:hAnsiTheme="minorHAnsi" w:cs="Calibri"/>
          <w:sz w:val="22"/>
        </w:rPr>
      </w:pPr>
    </w:p>
    <w:p w:rsidR="00DF2B27" w:rsidRPr="00AF6C41" w:rsidRDefault="00DF2B27" w:rsidP="00102C26">
      <w:pPr>
        <w:pStyle w:val="ListParagraph"/>
        <w:numPr>
          <w:ilvl w:val="0"/>
          <w:numId w:val="11"/>
        </w:numPr>
        <w:jc w:val="left"/>
        <w:rPr>
          <w:rFonts w:asciiTheme="minorHAnsi" w:hAnsiTheme="minorHAnsi" w:cs="Calibri"/>
          <w:sz w:val="22"/>
        </w:rPr>
      </w:pPr>
      <w:r w:rsidRPr="00AF6C41">
        <w:rPr>
          <w:rFonts w:asciiTheme="minorHAnsi" w:hAnsiTheme="minorHAnsi" w:cs="Calibri"/>
          <w:sz w:val="22"/>
        </w:rPr>
        <w:t xml:space="preserve">Community Childcare Cooperative. (2010). </w:t>
      </w:r>
      <w:r w:rsidRPr="00AF6C41">
        <w:rPr>
          <w:rFonts w:asciiTheme="minorHAnsi" w:hAnsiTheme="minorHAnsi" w:cs="Calibri"/>
          <w:i/>
          <w:sz w:val="22"/>
        </w:rPr>
        <w:t>Water safety: Sample policy</w:t>
      </w:r>
      <w:r w:rsidRPr="00AF6C41">
        <w:rPr>
          <w:rFonts w:asciiTheme="minorHAnsi" w:hAnsiTheme="minorHAnsi" w:cs="Calibri"/>
          <w:sz w:val="22"/>
        </w:rPr>
        <w:t xml:space="preserve"> </w:t>
      </w:r>
      <w:hyperlink r:id="rId8" w:history="1">
        <w:r w:rsidR="00102C26" w:rsidRPr="00AF6C41">
          <w:rPr>
            <w:rStyle w:val="Hyperlink"/>
            <w:rFonts w:asciiTheme="minorHAnsi" w:hAnsiTheme="minorHAnsi" w:cs="Calibri"/>
            <w:color w:val="auto"/>
            <w:sz w:val="22"/>
          </w:rPr>
          <w:t>http://www.cscentral.org.au/Resources/water-safety.pdf</w:t>
        </w:r>
      </w:hyperlink>
      <w:r w:rsidR="00102C26" w:rsidRPr="00AF6C41">
        <w:rPr>
          <w:rFonts w:asciiTheme="minorHAnsi" w:hAnsiTheme="minorHAnsi" w:cs="Calibri"/>
          <w:sz w:val="22"/>
        </w:rPr>
        <w:t xml:space="preserve"> </w:t>
      </w:r>
      <w:r w:rsidRPr="00AF6C41">
        <w:rPr>
          <w:rFonts w:asciiTheme="minorHAnsi" w:hAnsiTheme="minorHAnsi" w:cs="Calibri"/>
          <w:sz w:val="22"/>
        </w:rPr>
        <w:t xml:space="preserve"> accessed </w:t>
      </w:r>
      <w:r w:rsidR="001D04FD">
        <w:rPr>
          <w:rFonts w:asciiTheme="minorHAnsi" w:hAnsiTheme="minorHAnsi" w:cs="Calibri"/>
          <w:sz w:val="22"/>
        </w:rPr>
        <w:t>5 February 2016</w:t>
      </w:r>
    </w:p>
    <w:p w:rsidR="00DF2B27" w:rsidRPr="00AF6C41" w:rsidRDefault="00DF2B27" w:rsidP="00B77597">
      <w:pPr>
        <w:numPr>
          <w:ilvl w:val="0"/>
          <w:numId w:val="8"/>
        </w:numPr>
        <w:jc w:val="both"/>
        <w:rPr>
          <w:rFonts w:asciiTheme="minorHAnsi" w:hAnsiTheme="minorHAnsi" w:cs="Calibri"/>
          <w:sz w:val="22"/>
        </w:rPr>
      </w:pPr>
      <w:r w:rsidRPr="00AF6C41">
        <w:rPr>
          <w:rFonts w:asciiTheme="minorHAnsi" w:hAnsiTheme="minorHAnsi" w:cs="Calibri"/>
          <w:sz w:val="22"/>
        </w:rPr>
        <w:t>Early Years Learning Framework 2009</w:t>
      </w:r>
    </w:p>
    <w:p w:rsidR="00DF2B27" w:rsidRPr="00AF6C41" w:rsidRDefault="00DF2B27" w:rsidP="00B77597">
      <w:pPr>
        <w:numPr>
          <w:ilvl w:val="0"/>
          <w:numId w:val="8"/>
        </w:numPr>
        <w:jc w:val="both"/>
        <w:rPr>
          <w:rFonts w:asciiTheme="minorHAnsi" w:hAnsiTheme="minorHAnsi" w:cs="Calibri"/>
          <w:sz w:val="22"/>
        </w:rPr>
      </w:pPr>
      <w:r w:rsidRPr="00AF6C41">
        <w:rPr>
          <w:rFonts w:asciiTheme="minorHAnsi" w:hAnsiTheme="minorHAnsi" w:cs="Calibri"/>
          <w:sz w:val="22"/>
        </w:rPr>
        <w:t>Education and Care Services National Regulations 2011</w:t>
      </w:r>
    </w:p>
    <w:p w:rsidR="00DF2B27" w:rsidRPr="00BC3C8C" w:rsidRDefault="009504B7" w:rsidP="00B77597">
      <w:pPr>
        <w:numPr>
          <w:ilvl w:val="0"/>
          <w:numId w:val="8"/>
        </w:numPr>
        <w:jc w:val="both"/>
        <w:rPr>
          <w:rFonts w:asciiTheme="minorHAnsi" w:hAnsiTheme="minorHAnsi" w:cs="Calibri"/>
          <w:sz w:val="22"/>
        </w:rPr>
      </w:pPr>
      <w:r w:rsidRPr="00AF6C41">
        <w:rPr>
          <w:rFonts w:asciiTheme="minorHAnsi" w:hAnsiTheme="minorHAnsi" w:cs="Calibri"/>
          <w:sz w:val="22"/>
        </w:rPr>
        <w:t xml:space="preserve">Guide to the </w:t>
      </w:r>
      <w:r w:rsidR="00DF2B27" w:rsidRPr="00AF6C41">
        <w:rPr>
          <w:rFonts w:asciiTheme="minorHAnsi" w:hAnsiTheme="minorHAnsi" w:cs="Calibri"/>
          <w:sz w:val="22"/>
        </w:rPr>
        <w:t xml:space="preserve">National Quality Standard </w:t>
      </w:r>
      <w:r w:rsidR="00DF2B27" w:rsidRPr="00BC3C8C">
        <w:rPr>
          <w:rFonts w:asciiTheme="minorHAnsi" w:hAnsiTheme="minorHAnsi" w:cs="Calibri"/>
          <w:sz w:val="22"/>
        </w:rPr>
        <w:t>2011</w:t>
      </w:r>
    </w:p>
    <w:p w:rsidR="00DF2B27" w:rsidRPr="00BC3C8C" w:rsidRDefault="00DF2B27" w:rsidP="00DF2B27">
      <w:pPr>
        <w:jc w:val="both"/>
        <w:rPr>
          <w:rFonts w:asciiTheme="minorHAnsi" w:hAnsiTheme="minorHAnsi" w:cs="Calibri"/>
          <w:sz w:val="22"/>
        </w:rPr>
      </w:pPr>
    </w:p>
    <w:p w:rsidR="00AF6C41" w:rsidRPr="00DF2B27" w:rsidRDefault="00AF6C41" w:rsidP="00AF6C41">
      <w:pPr>
        <w:pBdr>
          <w:bottom w:val="single" w:sz="4" w:space="1" w:color="auto"/>
        </w:pBdr>
        <w:jc w:val="left"/>
        <w:rPr>
          <w:rFonts w:asciiTheme="minorHAnsi" w:hAnsiTheme="minorHAnsi" w:cs="Calibri"/>
          <w:b/>
          <w:sz w:val="22"/>
        </w:rPr>
      </w:pPr>
      <w:r>
        <w:rPr>
          <w:rFonts w:asciiTheme="minorHAnsi" w:hAnsiTheme="minorHAnsi" w:cs="Calibri"/>
          <w:b/>
          <w:sz w:val="22"/>
        </w:rPr>
        <w:t xml:space="preserve">Further </w:t>
      </w:r>
      <w:r w:rsidRPr="00DF2B27">
        <w:rPr>
          <w:rFonts w:asciiTheme="minorHAnsi" w:hAnsiTheme="minorHAnsi" w:cs="Calibri"/>
          <w:b/>
          <w:sz w:val="22"/>
        </w:rPr>
        <w:t>reading and useful websites</w:t>
      </w:r>
    </w:p>
    <w:p w:rsidR="0010359C" w:rsidRDefault="0010359C" w:rsidP="0010359C">
      <w:pPr>
        <w:ind w:left="720"/>
        <w:jc w:val="both"/>
        <w:rPr>
          <w:rFonts w:asciiTheme="minorHAnsi" w:hAnsiTheme="minorHAnsi" w:cs="Calibri"/>
          <w:sz w:val="22"/>
        </w:rPr>
      </w:pPr>
    </w:p>
    <w:p w:rsidR="00AF6C41" w:rsidRPr="00AF6C41" w:rsidRDefault="00AF6C41" w:rsidP="00AF6C41">
      <w:pPr>
        <w:pStyle w:val="ListParagraph"/>
        <w:numPr>
          <w:ilvl w:val="0"/>
          <w:numId w:val="8"/>
        </w:numPr>
        <w:jc w:val="both"/>
        <w:rPr>
          <w:rFonts w:asciiTheme="minorHAnsi" w:hAnsiTheme="minorHAnsi" w:cs="Calibri"/>
          <w:sz w:val="22"/>
        </w:rPr>
      </w:pPr>
      <w:proofErr w:type="spellStart"/>
      <w:r w:rsidRPr="00AF6C41">
        <w:rPr>
          <w:rFonts w:asciiTheme="minorHAnsi" w:hAnsiTheme="minorHAnsi" w:cs="Calibri"/>
          <w:sz w:val="22"/>
        </w:rPr>
        <w:t>Kidsafe</w:t>
      </w:r>
      <w:proofErr w:type="spellEnd"/>
      <w:r w:rsidRPr="00AF6C41">
        <w:rPr>
          <w:rFonts w:asciiTheme="minorHAnsi" w:hAnsiTheme="minorHAnsi" w:cs="Calibri"/>
          <w:sz w:val="22"/>
        </w:rPr>
        <w:t xml:space="preserve"> – </w:t>
      </w:r>
      <w:hyperlink r:id="rId9" w:history="1">
        <w:r w:rsidRPr="00AF6C41">
          <w:rPr>
            <w:rStyle w:val="Hyperlink"/>
            <w:rFonts w:asciiTheme="minorHAnsi" w:hAnsiTheme="minorHAnsi" w:cs="Calibri"/>
            <w:color w:val="auto"/>
            <w:sz w:val="22"/>
          </w:rPr>
          <w:t>http://www.kidsafe.com.au/</w:t>
        </w:r>
      </w:hyperlink>
      <w:r w:rsidRPr="00AF6C41">
        <w:rPr>
          <w:rFonts w:asciiTheme="minorHAnsi" w:hAnsiTheme="minorHAnsi" w:cs="Calibri"/>
          <w:sz w:val="22"/>
        </w:rPr>
        <w:t xml:space="preserve"> </w:t>
      </w:r>
      <w:r w:rsidR="001D04FD">
        <w:rPr>
          <w:rFonts w:asciiTheme="minorHAnsi" w:hAnsiTheme="minorHAnsi" w:cs="Calibri"/>
          <w:sz w:val="22"/>
        </w:rPr>
        <w:t xml:space="preserve">accessed </w:t>
      </w:r>
      <w:r w:rsidR="00C963CD">
        <w:rPr>
          <w:rFonts w:asciiTheme="minorHAnsi" w:hAnsiTheme="minorHAnsi" w:cs="Calibri"/>
          <w:sz w:val="22"/>
        </w:rPr>
        <w:t>23 December 2017</w:t>
      </w:r>
    </w:p>
    <w:p w:rsidR="001D04FD" w:rsidRPr="00AF6C41" w:rsidRDefault="001D04FD" w:rsidP="001D04FD">
      <w:pPr>
        <w:numPr>
          <w:ilvl w:val="0"/>
          <w:numId w:val="8"/>
        </w:numPr>
        <w:jc w:val="both"/>
        <w:rPr>
          <w:rFonts w:asciiTheme="minorHAnsi" w:hAnsiTheme="minorHAnsi" w:cs="Calibri"/>
          <w:sz w:val="22"/>
        </w:rPr>
      </w:pPr>
      <w:r>
        <w:rPr>
          <w:rFonts w:asciiTheme="minorHAnsi" w:hAnsiTheme="minorHAnsi" w:cs="Calibri"/>
          <w:sz w:val="22"/>
        </w:rPr>
        <w:t xml:space="preserve">Kids Alive. </w:t>
      </w:r>
      <w:r w:rsidRPr="00AF6C41">
        <w:rPr>
          <w:rFonts w:asciiTheme="minorHAnsi" w:hAnsiTheme="minorHAnsi" w:cs="Calibri"/>
          <w:i/>
          <w:sz w:val="22"/>
        </w:rPr>
        <w:t>Kids alive do the five</w:t>
      </w:r>
      <w:r>
        <w:rPr>
          <w:rFonts w:asciiTheme="minorHAnsi" w:hAnsiTheme="minorHAnsi" w:cs="Calibri"/>
          <w:i/>
          <w:sz w:val="22"/>
        </w:rPr>
        <w:t xml:space="preserve">. </w:t>
      </w:r>
      <w:hyperlink r:id="rId10" w:history="1">
        <w:r w:rsidRPr="001D04FD">
          <w:rPr>
            <w:rStyle w:val="Hyperlink"/>
            <w:rFonts w:asciiTheme="minorHAnsi" w:hAnsiTheme="minorHAnsi" w:cs="Calibri"/>
            <w:sz w:val="22"/>
          </w:rPr>
          <w:t>http://www.kidsalive.com.au/</w:t>
        </w:r>
      </w:hyperlink>
      <w:r w:rsidRPr="001D04FD">
        <w:rPr>
          <w:rFonts w:asciiTheme="minorHAnsi" w:hAnsiTheme="minorHAnsi" w:cs="Calibri"/>
          <w:sz w:val="22"/>
        </w:rPr>
        <w:t xml:space="preserve"> </w:t>
      </w:r>
      <w:r>
        <w:rPr>
          <w:rFonts w:asciiTheme="minorHAnsi" w:hAnsiTheme="minorHAnsi" w:cs="Calibri"/>
          <w:sz w:val="22"/>
        </w:rPr>
        <w:t xml:space="preserve">accessed </w:t>
      </w:r>
      <w:r w:rsidR="00C963CD">
        <w:rPr>
          <w:rFonts w:asciiTheme="minorHAnsi" w:hAnsiTheme="minorHAnsi" w:cs="Calibri"/>
          <w:sz w:val="22"/>
        </w:rPr>
        <w:t xml:space="preserve">23 December </w:t>
      </w:r>
      <w:r>
        <w:rPr>
          <w:rFonts w:asciiTheme="minorHAnsi" w:hAnsiTheme="minorHAnsi" w:cs="Calibri"/>
          <w:sz w:val="22"/>
        </w:rPr>
        <w:t>201</w:t>
      </w:r>
      <w:r w:rsidR="00C963CD">
        <w:rPr>
          <w:rFonts w:asciiTheme="minorHAnsi" w:hAnsiTheme="minorHAnsi" w:cs="Calibri"/>
          <w:sz w:val="22"/>
        </w:rPr>
        <w:t>7</w:t>
      </w:r>
    </w:p>
    <w:p w:rsidR="00C963CD" w:rsidRDefault="00C963CD" w:rsidP="00C963CD">
      <w:pPr>
        <w:pStyle w:val="ListParagraph"/>
        <w:numPr>
          <w:ilvl w:val="0"/>
          <w:numId w:val="8"/>
        </w:numPr>
        <w:jc w:val="both"/>
        <w:rPr>
          <w:rFonts w:asciiTheme="minorHAnsi" w:hAnsiTheme="minorHAnsi" w:cs="Calibri"/>
          <w:sz w:val="22"/>
        </w:rPr>
      </w:pPr>
      <w:r w:rsidRPr="00C963CD">
        <w:rPr>
          <w:rFonts w:asciiTheme="minorHAnsi" w:hAnsiTheme="minorHAnsi" w:cs="Calibri"/>
          <w:sz w:val="22"/>
        </w:rPr>
        <w:t xml:space="preserve">Living Thing – https://www.livingthing.net.au/ </w:t>
      </w:r>
      <w:r>
        <w:rPr>
          <w:rFonts w:asciiTheme="minorHAnsi" w:hAnsiTheme="minorHAnsi" w:cs="Calibri"/>
          <w:sz w:val="22"/>
        </w:rPr>
        <w:t xml:space="preserve">accessed 23 December 2017 </w:t>
      </w:r>
    </w:p>
    <w:p w:rsidR="00AF6C41" w:rsidRPr="00C963CD" w:rsidRDefault="00AF6C41" w:rsidP="00C963CD">
      <w:pPr>
        <w:pStyle w:val="ListParagraph"/>
        <w:numPr>
          <w:ilvl w:val="0"/>
          <w:numId w:val="8"/>
        </w:numPr>
        <w:jc w:val="both"/>
        <w:rPr>
          <w:rFonts w:asciiTheme="minorHAnsi" w:hAnsiTheme="minorHAnsi" w:cs="Calibri"/>
          <w:sz w:val="22"/>
        </w:rPr>
      </w:pPr>
      <w:r w:rsidRPr="00C963CD">
        <w:rPr>
          <w:rFonts w:asciiTheme="minorHAnsi" w:hAnsiTheme="minorHAnsi" w:cs="Calibri"/>
          <w:sz w:val="22"/>
        </w:rPr>
        <w:t xml:space="preserve">National Health and Medical Research Council – </w:t>
      </w:r>
      <w:hyperlink r:id="rId11" w:history="1">
        <w:r w:rsidRPr="00C963CD">
          <w:rPr>
            <w:rStyle w:val="Hyperlink"/>
            <w:rFonts w:asciiTheme="minorHAnsi" w:hAnsiTheme="minorHAnsi" w:cs="Calibri"/>
            <w:color w:val="auto"/>
            <w:sz w:val="22"/>
          </w:rPr>
          <w:t>http://www.nhmrc.gov.au/</w:t>
        </w:r>
      </w:hyperlink>
      <w:r w:rsidRPr="00C963CD">
        <w:rPr>
          <w:rFonts w:asciiTheme="minorHAnsi" w:hAnsiTheme="minorHAnsi" w:cs="Calibri"/>
          <w:sz w:val="22"/>
        </w:rPr>
        <w:t xml:space="preserve"> </w:t>
      </w:r>
      <w:r w:rsidR="001D04FD" w:rsidRPr="00C963CD">
        <w:rPr>
          <w:rFonts w:asciiTheme="minorHAnsi" w:hAnsiTheme="minorHAnsi" w:cs="Calibri"/>
          <w:sz w:val="22"/>
        </w:rPr>
        <w:t xml:space="preserve">accessed </w:t>
      </w:r>
      <w:r w:rsidR="00C963CD">
        <w:rPr>
          <w:rFonts w:asciiTheme="minorHAnsi" w:hAnsiTheme="minorHAnsi" w:cs="Calibri"/>
          <w:sz w:val="22"/>
        </w:rPr>
        <w:t xml:space="preserve">23 December </w:t>
      </w:r>
      <w:r w:rsidR="001D04FD" w:rsidRPr="00C963CD">
        <w:rPr>
          <w:rFonts w:asciiTheme="minorHAnsi" w:hAnsiTheme="minorHAnsi" w:cs="Calibri"/>
          <w:sz w:val="22"/>
        </w:rPr>
        <w:t>201</w:t>
      </w:r>
      <w:r w:rsidR="00C963CD">
        <w:rPr>
          <w:rFonts w:asciiTheme="minorHAnsi" w:hAnsiTheme="minorHAnsi" w:cs="Calibri"/>
          <w:sz w:val="22"/>
        </w:rPr>
        <w:t>7</w:t>
      </w:r>
    </w:p>
    <w:p w:rsidR="00DF2B27" w:rsidRPr="00AF6C41" w:rsidRDefault="00DF2B27" w:rsidP="00B77597">
      <w:pPr>
        <w:numPr>
          <w:ilvl w:val="0"/>
          <w:numId w:val="8"/>
        </w:numPr>
        <w:jc w:val="both"/>
        <w:rPr>
          <w:rFonts w:asciiTheme="minorHAnsi" w:hAnsiTheme="minorHAnsi" w:cs="Calibri"/>
          <w:sz w:val="22"/>
        </w:rPr>
      </w:pPr>
      <w:r w:rsidRPr="00AF6C41">
        <w:rPr>
          <w:rFonts w:asciiTheme="minorHAnsi" w:hAnsiTheme="minorHAnsi" w:cs="Calibri"/>
          <w:sz w:val="22"/>
        </w:rPr>
        <w:t xml:space="preserve">Tansey, S. (2007). </w:t>
      </w:r>
      <w:r w:rsidRPr="00AF6C41">
        <w:rPr>
          <w:rFonts w:asciiTheme="minorHAnsi" w:hAnsiTheme="minorHAnsi" w:cs="Calibri"/>
          <w:i/>
          <w:sz w:val="22"/>
        </w:rPr>
        <w:t>Safety in Children’s Services</w:t>
      </w:r>
      <w:r w:rsidRPr="00AF6C41">
        <w:rPr>
          <w:rFonts w:asciiTheme="minorHAnsi" w:hAnsiTheme="minorHAnsi" w:cs="Calibri"/>
          <w:sz w:val="22"/>
        </w:rPr>
        <w:t xml:space="preserve">. </w:t>
      </w:r>
      <w:hyperlink r:id="rId12" w:history="1">
        <w:r w:rsidRPr="00AF6C41">
          <w:rPr>
            <w:rStyle w:val="Hyperlink"/>
            <w:rFonts w:asciiTheme="minorHAnsi" w:hAnsiTheme="minorHAnsi" w:cs="Calibri"/>
            <w:color w:val="auto"/>
            <w:sz w:val="22"/>
          </w:rPr>
          <w:t>http://ncac.acecqa.gov.au/educator-resources/factsheets/qias_factsheet_%202.pdf</w:t>
        </w:r>
      </w:hyperlink>
      <w:r w:rsidRPr="00AF6C41">
        <w:rPr>
          <w:rFonts w:asciiTheme="minorHAnsi" w:hAnsiTheme="minorHAnsi" w:cs="Calibri"/>
          <w:sz w:val="22"/>
        </w:rPr>
        <w:t xml:space="preserve"> accessed </w:t>
      </w:r>
      <w:r w:rsidR="0014012E">
        <w:rPr>
          <w:rFonts w:asciiTheme="minorHAnsi" w:hAnsiTheme="minorHAnsi" w:cs="Calibri"/>
          <w:sz w:val="22"/>
        </w:rPr>
        <w:t xml:space="preserve">23 December </w:t>
      </w:r>
      <w:r w:rsidR="001D04FD">
        <w:rPr>
          <w:rFonts w:asciiTheme="minorHAnsi" w:hAnsiTheme="minorHAnsi" w:cs="Calibri"/>
          <w:sz w:val="22"/>
        </w:rPr>
        <w:t>201</w:t>
      </w:r>
      <w:r w:rsidR="0014012E">
        <w:rPr>
          <w:rFonts w:asciiTheme="minorHAnsi" w:hAnsiTheme="minorHAnsi" w:cs="Calibri"/>
          <w:sz w:val="22"/>
        </w:rPr>
        <w:t>7</w:t>
      </w:r>
    </w:p>
    <w:p w:rsidR="00DF2B27" w:rsidRPr="00BC3C8C" w:rsidRDefault="00DF2B27" w:rsidP="00DF2B27">
      <w:pPr>
        <w:jc w:val="both"/>
        <w:rPr>
          <w:rFonts w:asciiTheme="minorHAnsi" w:hAnsiTheme="minorHAnsi" w:cs="Calibri"/>
          <w:sz w:val="22"/>
        </w:rPr>
      </w:pPr>
    </w:p>
    <w:p w:rsidR="00DF2B27" w:rsidRPr="00DF2B27" w:rsidRDefault="00DF2B27" w:rsidP="00421FF9">
      <w:pPr>
        <w:pBdr>
          <w:bottom w:val="single" w:sz="4" w:space="1" w:color="auto"/>
        </w:pBdr>
        <w:jc w:val="left"/>
        <w:rPr>
          <w:rFonts w:asciiTheme="minorHAnsi" w:hAnsiTheme="minorHAnsi" w:cs="Calibri"/>
          <w:b/>
          <w:sz w:val="22"/>
        </w:rPr>
      </w:pPr>
      <w:r w:rsidRPr="00DF2B27">
        <w:rPr>
          <w:rFonts w:asciiTheme="minorHAnsi" w:hAnsiTheme="minorHAnsi" w:cs="Calibri"/>
          <w:b/>
          <w:sz w:val="22"/>
        </w:rPr>
        <w:t>Policy review</w:t>
      </w:r>
    </w:p>
    <w:p w:rsidR="00DF2B27" w:rsidRPr="00DF2B27" w:rsidRDefault="00DF2B27" w:rsidP="00DF2B27">
      <w:pPr>
        <w:jc w:val="both"/>
        <w:rPr>
          <w:rFonts w:asciiTheme="minorHAnsi" w:hAnsiTheme="minorHAnsi" w:cs="Calibri"/>
          <w:sz w:val="22"/>
        </w:rPr>
      </w:pPr>
    </w:p>
    <w:p w:rsidR="00DF2B27" w:rsidRPr="00DF2B27" w:rsidRDefault="00DF2B27" w:rsidP="00DF2B27">
      <w:pPr>
        <w:jc w:val="both"/>
        <w:rPr>
          <w:rFonts w:asciiTheme="minorHAnsi" w:hAnsiTheme="minorHAnsi" w:cs="Calibri"/>
          <w:sz w:val="22"/>
        </w:rPr>
      </w:pPr>
      <w:r w:rsidRPr="00DF2B27">
        <w:rPr>
          <w:rFonts w:asciiTheme="minorHAnsi" w:hAnsiTheme="minorHAnsi" w:cs="Calibri"/>
          <w:sz w:val="22"/>
        </w:rPr>
        <w:t xml:space="preserve">The </w:t>
      </w:r>
      <w:r w:rsidR="00BC3C8C">
        <w:rPr>
          <w:rFonts w:asciiTheme="minorHAnsi" w:hAnsiTheme="minorHAnsi" w:cs="Calibri"/>
          <w:sz w:val="22"/>
        </w:rPr>
        <w:t>Service</w:t>
      </w:r>
      <w:r w:rsidRPr="00DF2B27">
        <w:rPr>
          <w:rFonts w:asciiTheme="minorHAnsi" w:hAnsiTheme="minorHAnsi" w:cs="Calibri"/>
          <w:sz w:val="22"/>
        </w:rPr>
        <w:t xml:space="preserve"> encourages staff and parents to be actively involved in the annual review of each of its policies and procedures. In addition, the </w:t>
      </w:r>
      <w:r w:rsidR="00BC3C8C">
        <w:rPr>
          <w:rFonts w:asciiTheme="minorHAnsi" w:hAnsiTheme="minorHAnsi" w:cs="Calibri"/>
          <w:sz w:val="22"/>
        </w:rPr>
        <w:t>Service</w:t>
      </w:r>
      <w:r w:rsidRPr="00DF2B27">
        <w:rPr>
          <w:rFonts w:asciiTheme="minorHAnsi" w:hAnsiTheme="minorHAnsi" w:cs="Calibri"/>
          <w:sz w:val="22"/>
        </w:rPr>
        <w:t xml:space="preserve"> will accommodate any new legislative changes as they occur and any issues identified as part the </w:t>
      </w:r>
      <w:r w:rsidR="00BC3C8C">
        <w:rPr>
          <w:rFonts w:asciiTheme="minorHAnsi" w:hAnsiTheme="minorHAnsi" w:cs="Calibri"/>
          <w:sz w:val="22"/>
        </w:rPr>
        <w:t>Service</w:t>
      </w:r>
      <w:r w:rsidRPr="00DF2B27">
        <w:rPr>
          <w:rFonts w:asciiTheme="minorHAnsi" w:hAnsiTheme="minorHAnsi" w:cs="Calibri"/>
          <w:sz w:val="22"/>
        </w:rPr>
        <w:t xml:space="preserve">’s commitment to quality improvement. The </w:t>
      </w:r>
      <w:r w:rsidR="00BC3C8C">
        <w:rPr>
          <w:rFonts w:asciiTheme="minorHAnsi" w:hAnsiTheme="minorHAnsi" w:cs="Calibri"/>
          <w:sz w:val="22"/>
        </w:rPr>
        <w:t>Service</w:t>
      </w:r>
      <w:r w:rsidRPr="00DF2B27">
        <w:rPr>
          <w:rFonts w:asciiTheme="minorHAnsi" w:hAnsiTheme="minorHAnsi" w:cs="Calibri"/>
          <w:sz w:val="22"/>
        </w:rPr>
        <w:t xml:space="preserve"> consults with relevant recognised authorities as part of the annual review to ensure the policy contents are consistent with current research and contemporary views on best practice. </w:t>
      </w:r>
    </w:p>
    <w:p w:rsidR="00DF2B27" w:rsidRPr="00DF2B27" w:rsidRDefault="00DF2B27" w:rsidP="00DF2B27">
      <w:pPr>
        <w:jc w:val="both"/>
        <w:rPr>
          <w:rFonts w:asciiTheme="minorHAnsi" w:hAnsiTheme="minorHAnsi" w:cs="Calibri"/>
          <w:b/>
          <w:sz w:val="22"/>
        </w:rPr>
      </w:pPr>
    </w:p>
    <w:p w:rsidR="0011561F" w:rsidRDefault="0011561F" w:rsidP="0011561F">
      <w:pPr>
        <w:pBdr>
          <w:bottom w:val="single" w:sz="4" w:space="1" w:color="auto"/>
        </w:pBdr>
        <w:jc w:val="left"/>
        <w:rPr>
          <w:b/>
          <w:sz w:val="22"/>
        </w:rPr>
      </w:pPr>
      <w:r>
        <w:rPr>
          <w:b/>
          <w:sz w:val="22"/>
        </w:rPr>
        <w:t>Version Control</w:t>
      </w:r>
    </w:p>
    <w:p w:rsidR="0011561F" w:rsidRDefault="0011561F" w:rsidP="0011561F">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317997" w:rsidTr="00317997">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997" w:rsidRDefault="00317997">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997" w:rsidRDefault="00317997">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997" w:rsidRDefault="00317997">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997" w:rsidRDefault="00317997">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997" w:rsidRDefault="00317997">
            <w:pPr>
              <w:jc w:val="left"/>
              <w:rPr>
                <w:b/>
                <w:sz w:val="18"/>
                <w:szCs w:val="18"/>
              </w:rPr>
            </w:pPr>
            <w:r>
              <w:rPr>
                <w:b/>
                <w:sz w:val="18"/>
                <w:szCs w:val="18"/>
              </w:rPr>
              <w:t>Next Review Date</w:t>
            </w:r>
          </w:p>
        </w:tc>
      </w:tr>
      <w:tr w:rsidR="00317997" w:rsidTr="00317997">
        <w:tc>
          <w:tcPr>
            <w:tcW w:w="787" w:type="dxa"/>
            <w:tcBorders>
              <w:top w:val="single" w:sz="4" w:space="0" w:color="auto"/>
              <w:left w:val="single" w:sz="4" w:space="0" w:color="auto"/>
              <w:bottom w:val="single" w:sz="4" w:space="0" w:color="auto"/>
              <w:right w:val="single" w:sz="4" w:space="0" w:color="auto"/>
            </w:tcBorders>
            <w:hideMark/>
          </w:tcPr>
          <w:p w:rsidR="00317997" w:rsidRDefault="00317997">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317997" w:rsidRDefault="00317997">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317997" w:rsidRDefault="00317997">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317997" w:rsidRDefault="00317997">
            <w:pPr>
              <w:jc w:val="left"/>
              <w:rPr>
                <w:sz w:val="18"/>
                <w:szCs w:val="18"/>
              </w:rPr>
            </w:pPr>
            <w:r>
              <w:rPr>
                <w:sz w:val="18"/>
                <w:szCs w:val="18"/>
              </w:rPr>
              <w:t xml:space="preserve">Updated to changed NQF requirements 1 February 2018. </w:t>
            </w:r>
          </w:p>
          <w:p w:rsidR="00317997" w:rsidRDefault="00317997">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317997" w:rsidRDefault="00317997">
            <w:pPr>
              <w:jc w:val="left"/>
              <w:rPr>
                <w:sz w:val="18"/>
                <w:szCs w:val="18"/>
              </w:rPr>
            </w:pPr>
          </w:p>
        </w:tc>
      </w:tr>
    </w:tbl>
    <w:p w:rsidR="00DF2B27" w:rsidRPr="00DF2B27" w:rsidRDefault="00DF2B27" w:rsidP="00DF2B27">
      <w:pPr>
        <w:jc w:val="both"/>
        <w:rPr>
          <w:rFonts w:asciiTheme="minorHAnsi" w:hAnsiTheme="minorHAnsi" w:cs="Calibri"/>
          <w:sz w:val="22"/>
        </w:rPr>
      </w:pPr>
    </w:p>
    <w:p w:rsidR="00DF2B27" w:rsidRPr="00DF2B27" w:rsidRDefault="00DF2B27" w:rsidP="00DF2B27">
      <w:pPr>
        <w:jc w:val="both"/>
        <w:rPr>
          <w:rFonts w:asciiTheme="minorHAnsi" w:hAnsiTheme="minorHAnsi" w:cs="Calibri"/>
          <w:b/>
          <w:sz w:val="22"/>
        </w:rPr>
      </w:pPr>
    </w:p>
    <w:bookmarkEnd w:id="0"/>
    <w:p w:rsidR="00DF2B27" w:rsidRPr="00DF2B27" w:rsidRDefault="00DF2B27" w:rsidP="00DF2B27">
      <w:pPr>
        <w:jc w:val="both"/>
        <w:rPr>
          <w:rFonts w:asciiTheme="minorHAnsi" w:hAnsiTheme="minorHAnsi" w:cs="Calibri"/>
          <w:sz w:val="22"/>
        </w:rPr>
      </w:pPr>
    </w:p>
    <w:p w:rsidR="00DF2B27" w:rsidRPr="00DF2B27" w:rsidRDefault="00DF2B27" w:rsidP="00DF2B27">
      <w:pPr>
        <w:jc w:val="both"/>
        <w:rPr>
          <w:rFonts w:asciiTheme="minorHAnsi" w:hAnsiTheme="minorHAnsi" w:cs="Calibri"/>
          <w:sz w:val="22"/>
        </w:rPr>
      </w:pPr>
    </w:p>
    <w:p w:rsidR="005633F1" w:rsidRPr="00DF2B27" w:rsidRDefault="005633F1" w:rsidP="00DF2B27">
      <w:pPr>
        <w:rPr>
          <w:rFonts w:asciiTheme="minorHAnsi" w:hAnsiTheme="minorHAnsi" w:cs="Calibri"/>
        </w:rPr>
      </w:pPr>
    </w:p>
    <w:sectPr w:rsidR="005633F1" w:rsidRPr="00DF2B27" w:rsidSect="004068A2">
      <w:headerReference w:type="even" r:id="rId13"/>
      <w:headerReference w:type="default" r:id="rId14"/>
      <w:footerReference w:type="even" r:id="rId15"/>
      <w:footerReference w:type="default" r:id="rId16"/>
      <w:headerReference w:type="first" r:id="rId17"/>
      <w:footerReference w:type="first" r:id="rId18"/>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3D" w:rsidRDefault="001B7B3D" w:rsidP="00FC7AF1">
      <w:r>
        <w:separator/>
      </w:r>
    </w:p>
  </w:endnote>
  <w:endnote w:type="continuationSeparator" w:id="0">
    <w:p w:rsidR="001B7B3D" w:rsidRDefault="001B7B3D"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046DA8">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350DE9" w:rsidTr="002B6E45">
      <w:trPr>
        <w:trHeight w:val="583"/>
      </w:trPr>
      <w:tc>
        <w:tcPr>
          <w:tcW w:w="7089" w:type="dxa"/>
          <w:shd w:val="clear" w:color="auto" w:fill="808080" w:themeFill="background1" w:themeFillShade="80"/>
        </w:tcPr>
        <w:p w:rsidR="00DE52FE" w:rsidRDefault="00350DE9"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EC2848">
            <w:rPr>
              <w:noProof/>
              <w:color w:val="FFFFFF" w:themeColor="background1"/>
              <w:sz w:val="18"/>
              <w:szCs w:val="18"/>
              <w:lang w:val="en-US"/>
            </w:rPr>
            <w:t xml:space="preserve"> Pty Ltd</w:t>
          </w:r>
          <w:r>
            <w:rPr>
              <w:noProof/>
              <w:color w:val="FFFFFF" w:themeColor="background1"/>
              <w:sz w:val="18"/>
              <w:szCs w:val="18"/>
              <w:lang w:val="en-US"/>
            </w:rPr>
            <w:t xml:space="preserve">) 2012. </w:t>
          </w:r>
          <w:r w:rsidR="002658CF">
            <w:rPr>
              <w:noProof/>
              <w:color w:val="FFFFFF" w:themeColor="background1"/>
              <w:sz w:val="18"/>
              <w:szCs w:val="18"/>
              <w:lang w:val="en-US"/>
            </w:rPr>
            <w:t xml:space="preserve">Updated 2018. </w:t>
          </w:r>
        </w:p>
        <w:p w:rsidR="00350DE9" w:rsidRPr="005F4CC1" w:rsidRDefault="00350DE9"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350DE9" w:rsidRPr="00B03206" w:rsidRDefault="00350DE9" w:rsidP="00350DE9">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 xml:space="preserve">3 </w:t>
          </w:r>
          <w:r w:rsidRPr="00B03206">
            <w:rPr>
              <w:color w:val="FFFFFF" w:themeColor="background1"/>
              <w:sz w:val="20"/>
              <w:szCs w:val="20"/>
            </w:rPr>
            <w:t>QA</w:t>
          </w:r>
          <w:r>
            <w:rPr>
              <w:color w:val="FFFFFF" w:themeColor="background1"/>
              <w:sz w:val="24"/>
              <w:szCs w:val="24"/>
            </w:rPr>
            <w:t>6</w:t>
          </w:r>
          <w:r w:rsidRPr="00B03206">
            <w:rPr>
              <w:color w:val="FFFFFF" w:themeColor="background1"/>
              <w:sz w:val="24"/>
              <w:szCs w:val="24"/>
            </w:rPr>
            <w:t xml:space="preserve"> </w:t>
          </w:r>
          <w:r w:rsidRPr="00B03206">
            <w:rPr>
              <w:color w:val="FFFFFF" w:themeColor="background1"/>
              <w:sz w:val="20"/>
              <w:szCs w:val="20"/>
            </w:rPr>
            <w:t>QA</w:t>
          </w:r>
          <w:r w:rsidRPr="00B03206">
            <w:rPr>
              <w:color w:val="FFFFFF" w:themeColor="background1"/>
              <w:sz w:val="24"/>
              <w:szCs w:val="24"/>
            </w:rPr>
            <w:t>7</w:t>
          </w:r>
        </w:p>
      </w:tc>
    </w:tr>
  </w:tbl>
  <w:p w:rsidR="00FC7AF1" w:rsidRDefault="00FC7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3D" w:rsidRDefault="001B7B3D" w:rsidP="00FC7AF1">
      <w:r>
        <w:separator/>
      </w:r>
    </w:p>
  </w:footnote>
  <w:footnote w:type="continuationSeparator" w:id="0">
    <w:p w:rsidR="001B7B3D" w:rsidRDefault="001B7B3D"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723ECB"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-676910</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723ECB" w:rsidRDefault="00723ECB" w:rsidP="00723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3810000" cy="428625"/>
                        </a:xfrm>
                        <a:prstGeom prst="rect">
                          <a:avLst/>
                        </a:prstGeom>
                        <a:solidFill>
                          <a:srgbClr val="92D050"/>
                        </a:solidFill>
                        <a:ln w="6350">
                          <a:solidFill>
                            <a:srgbClr val="92D050"/>
                          </a:solidFill>
                        </a:ln>
                        <a:effectLst/>
                      </wps:spPr>
                      <wps:txbx>
                        <w:txbxContent>
                          <w:p w:rsidR="00723ECB" w:rsidRPr="002360B0" w:rsidRDefault="00723ECB" w:rsidP="00723ECB">
                            <w:pPr>
                              <w:jc w:val="left"/>
                              <w:rPr>
                                <w:color w:val="FFFFFF" w:themeColor="background1"/>
                                <w:sz w:val="44"/>
                                <w:szCs w:val="44"/>
                              </w:rPr>
                            </w:pPr>
                            <w:r>
                              <w:rPr>
                                <w:color w:val="FFFFFF" w:themeColor="background1"/>
                                <w:sz w:val="44"/>
                                <w:szCs w:val="44"/>
                              </w:rPr>
                              <w:t>Water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3.3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723ECB" w:rsidRDefault="00723ECB" w:rsidP="00723ECB"/>
                  </w:txbxContent>
                </v:textbox>
              </v:shape>
              <v:shape id="Text Box 5"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723ECB" w:rsidRPr="002360B0" w:rsidRDefault="00723ECB" w:rsidP="00723ECB">
                      <w:pPr>
                        <w:jc w:val="left"/>
                        <w:rPr>
                          <w:color w:val="FFFFFF" w:themeColor="background1"/>
                          <w:sz w:val="44"/>
                          <w:szCs w:val="44"/>
                        </w:rPr>
                      </w:pPr>
                      <w:r>
                        <w:rPr>
                          <w:color w:val="FFFFFF" w:themeColor="background1"/>
                          <w:sz w:val="44"/>
                          <w:szCs w:val="44"/>
                        </w:rPr>
                        <w:t>Water Safety</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5C1"/>
    <w:multiLevelType w:val="hybridMultilevel"/>
    <w:tmpl w:val="FA8C6F5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3BD3"/>
    <w:multiLevelType w:val="hybridMultilevel"/>
    <w:tmpl w:val="8DFC9D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B7FD8"/>
    <w:multiLevelType w:val="hybridMultilevel"/>
    <w:tmpl w:val="BC2692F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D14AF"/>
    <w:multiLevelType w:val="hybridMultilevel"/>
    <w:tmpl w:val="578E73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73592"/>
    <w:multiLevelType w:val="hybridMultilevel"/>
    <w:tmpl w:val="3BC0929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2540B"/>
    <w:multiLevelType w:val="hybridMultilevel"/>
    <w:tmpl w:val="E21C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C771C"/>
    <w:multiLevelType w:val="hybridMultilevel"/>
    <w:tmpl w:val="83F6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E10D7"/>
    <w:multiLevelType w:val="hybridMultilevel"/>
    <w:tmpl w:val="75DE384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0"/>
  </w:num>
  <w:num w:numId="8">
    <w:abstractNumId w:val="4"/>
  </w:num>
  <w:num w:numId="9">
    <w:abstractNumId w:val="10"/>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07577"/>
    <w:rsid w:val="000331B6"/>
    <w:rsid w:val="000447CA"/>
    <w:rsid w:val="00046DA8"/>
    <w:rsid w:val="000653D4"/>
    <w:rsid w:val="000675EC"/>
    <w:rsid w:val="00081268"/>
    <w:rsid w:val="00083762"/>
    <w:rsid w:val="000909A7"/>
    <w:rsid w:val="000A2901"/>
    <w:rsid w:val="000A5CB4"/>
    <w:rsid w:val="000B1049"/>
    <w:rsid w:val="000B595C"/>
    <w:rsid w:val="000D059C"/>
    <w:rsid w:val="000D2052"/>
    <w:rsid w:val="000F27A2"/>
    <w:rsid w:val="000F4D51"/>
    <w:rsid w:val="000F580E"/>
    <w:rsid w:val="00102C26"/>
    <w:rsid w:val="0010303D"/>
    <w:rsid w:val="001030E3"/>
    <w:rsid w:val="0010359C"/>
    <w:rsid w:val="001123E2"/>
    <w:rsid w:val="0011561F"/>
    <w:rsid w:val="0014012E"/>
    <w:rsid w:val="00143417"/>
    <w:rsid w:val="0016189E"/>
    <w:rsid w:val="00195BC3"/>
    <w:rsid w:val="00195EC6"/>
    <w:rsid w:val="001B60B0"/>
    <w:rsid w:val="001B66FE"/>
    <w:rsid w:val="001B759C"/>
    <w:rsid w:val="001B7B3D"/>
    <w:rsid w:val="001C2CCC"/>
    <w:rsid w:val="001D04FD"/>
    <w:rsid w:val="001D0830"/>
    <w:rsid w:val="001F02AE"/>
    <w:rsid w:val="001F2361"/>
    <w:rsid w:val="0020502D"/>
    <w:rsid w:val="00212F66"/>
    <w:rsid w:val="0023511B"/>
    <w:rsid w:val="002374BF"/>
    <w:rsid w:val="002544E2"/>
    <w:rsid w:val="002658CF"/>
    <w:rsid w:val="00267336"/>
    <w:rsid w:val="00273467"/>
    <w:rsid w:val="00275981"/>
    <w:rsid w:val="00277FE8"/>
    <w:rsid w:val="00282CD2"/>
    <w:rsid w:val="002B6550"/>
    <w:rsid w:val="002C7A70"/>
    <w:rsid w:val="002D659E"/>
    <w:rsid w:val="002F24A1"/>
    <w:rsid w:val="00317997"/>
    <w:rsid w:val="00326B29"/>
    <w:rsid w:val="003275FF"/>
    <w:rsid w:val="00332FA3"/>
    <w:rsid w:val="00350DE9"/>
    <w:rsid w:val="00356954"/>
    <w:rsid w:val="003572EA"/>
    <w:rsid w:val="00361FBE"/>
    <w:rsid w:val="0036374A"/>
    <w:rsid w:val="00370B9F"/>
    <w:rsid w:val="00375006"/>
    <w:rsid w:val="00375176"/>
    <w:rsid w:val="003A28BF"/>
    <w:rsid w:val="003A2A0A"/>
    <w:rsid w:val="003B65C0"/>
    <w:rsid w:val="003C0898"/>
    <w:rsid w:val="003C7458"/>
    <w:rsid w:val="003D4830"/>
    <w:rsid w:val="003E4800"/>
    <w:rsid w:val="003F5AFC"/>
    <w:rsid w:val="004068A2"/>
    <w:rsid w:val="00406B34"/>
    <w:rsid w:val="00407C0D"/>
    <w:rsid w:val="004102B4"/>
    <w:rsid w:val="00410DB5"/>
    <w:rsid w:val="00412BE8"/>
    <w:rsid w:val="00415609"/>
    <w:rsid w:val="00421FF9"/>
    <w:rsid w:val="00432E8B"/>
    <w:rsid w:val="004568DD"/>
    <w:rsid w:val="00471B75"/>
    <w:rsid w:val="00472896"/>
    <w:rsid w:val="004835A3"/>
    <w:rsid w:val="0048502C"/>
    <w:rsid w:val="004A1EFF"/>
    <w:rsid w:val="004C4A2D"/>
    <w:rsid w:val="004D367E"/>
    <w:rsid w:val="00552157"/>
    <w:rsid w:val="00553DC5"/>
    <w:rsid w:val="005633F1"/>
    <w:rsid w:val="005A5DA9"/>
    <w:rsid w:val="005B68B5"/>
    <w:rsid w:val="005D2588"/>
    <w:rsid w:val="005E18A5"/>
    <w:rsid w:val="005F3004"/>
    <w:rsid w:val="005F3517"/>
    <w:rsid w:val="005F6B19"/>
    <w:rsid w:val="006025F0"/>
    <w:rsid w:val="00606066"/>
    <w:rsid w:val="00614C25"/>
    <w:rsid w:val="00695AFD"/>
    <w:rsid w:val="006A01BF"/>
    <w:rsid w:val="006A4D35"/>
    <w:rsid w:val="006B04BE"/>
    <w:rsid w:val="006C3A67"/>
    <w:rsid w:val="006C5AB7"/>
    <w:rsid w:val="006E25B2"/>
    <w:rsid w:val="006F0A7F"/>
    <w:rsid w:val="006F32C4"/>
    <w:rsid w:val="00723ECB"/>
    <w:rsid w:val="0072401F"/>
    <w:rsid w:val="00724383"/>
    <w:rsid w:val="00754908"/>
    <w:rsid w:val="00762239"/>
    <w:rsid w:val="00767A2D"/>
    <w:rsid w:val="007725C7"/>
    <w:rsid w:val="00786549"/>
    <w:rsid w:val="00786670"/>
    <w:rsid w:val="00797189"/>
    <w:rsid w:val="007A5A6E"/>
    <w:rsid w:val="007F17C7"/>
    <w:rsid w:val="00825DD2"/>
    <w:rsid w:val="00833315"/>
    <w:rsid w:val="00854C5F"/>
    <w:rsid w:val="00857701"/>
    <w:rsid w:val="00861A63"/>
    <w:rsid w:val="008939CF"/>
    <w:rsid w:val="00897BAD"/>
    <w:rsid w:val="008A1334"/>
    <w:rsid w:val="008B56CB"/>
    <w:rsid w:val="008B73AB"/>
    <w:rsid w:val="008C1CBB"/>
    <w:rsid w:val="00913520"/>
    <w:rsid w:val="009235A1"/>
    <w:rsid w:val="009323D3"/>
    <w:rsid w:val="009477F4"/>
    <w:rsid w:val="009504B7"/>
    <w:rsid w:val="00951A24"/>
    <w:rsid w:val="009524DC"/>
    <w:rsid w:val="00965BA5"/>
    <w:rsid w:val="00973D89"/>
    <w:rsid w:val="00976F90"/>
    <w:rsid w:val="009965FB"/>
    <w:rsid w:val="00997F5E"/>
    <w:rsid w:val="009A1AD7"/>
    <w:rsid w:val="009B0365"/>
    <w:rsid w:val="009E3731"/>
    <w:rsid w:val="009E4928"/>
    <w:rsid w:val="009E74EF"/>
    <w:rsid w:val="009E7D4C"/>
    <w:rsid w:val="009F0999"/>
    <w:rsid w:val="00A07EB2"/>
    <w:rsid w:val="00A14857"/>
    <w:rsid w:val="00A524AA"/>
    <w:rsid w:val="00A621D4"/>
    <w:rsid w:val="00A95329"/>
    <w:rsid w:val="00AA5227"/>
    <w:rsid w:val="00AA7204"/>
    <w:rsid w:val="00AA7B49"/>
    <w:rsid w:val="00AB1006"/>
    <w:rsid w:val="00AE3DC7"/>
    <w:rsid w:val="00AF0195"/>
    <w:rsid w:val="00AF6C41"/>
    <w:rsid w:val="00AF70DA"/>
    <w:rsid w:val="00B06C00"/>
    <w:rsid w:val="00B125B6"/>
    <w:rsid w:val="00B241F0"/>
    <w:rsid w:val="00B32629"/>
    <w:rsid w:val="00B32D47"/>
    <w:rsid w:val="00B41425"/>
    <w:rsid w:val="00B4179A"/>
    <w:rsid w:val="00B441C1"/>
    <w:rsid w:val="00B553CE"/>
    <w:rsid w:val="00B56E16"/>
    <w:rsid w:val="00B713C8"/>
    <w:rsid w:val="00B72B80"/>
    <w:rsid w:val="00B73E00"/>
    <w:rsid w:val="00B77597"/>
    <w:rsid w:val="00B95E8C"/>
    <w:rsid w:val="00B963D3"/>
    <w:rsid w:val="00BC3C8C"/>
    <w:rsid w:val="00BD47AB"/>
    <w:rsid w:val="00BE3192"/>
    <w:rsid w:val="00BE493B"/>
    <w:rsid w:val="00BF4DB7"/>
    <w:rsid w:val="00BF6367"/>
    <w:rsid w:val="00C03208"/>
    <w:rsid w:val="00C1191A"/>
    <w:rsid w:val="00C13775"/>
    <w:rsid w:val="00C15CC7"/>
    <w:rsid w:val="00C16686"/>
    <w:rsid w:val="00C30719"/>
    <w:rsid w:val="00C34592"/>
    <w:rsid w:val="00C42414"/>
    <w:rsid w:val="00C449C0"/>
    <w:rsid w:val="00C52C53"/>
    <w:rsid w:val="00C55B16"/>
    <w:rsid w:val="00C6102F"/>
    <w:rsid w:val="00C61326"/>
    <w:rsid w:val="00C669E5"/>
    <w:rsid w:val="00C72D31"/>
    <w:rsid w:val="00C76CB4"/>
    <w:rsid w:val="00C963CD"/>
    <w:rsid w:val="00C9794B"/>
    <w:rsid w:val="00CA07F8"/>
    <w:rsid w:val="00CB6033"/>
    <w:rsid w:val="00CC6860"/>
    <w:rsid w:val="00CD2E03"/>
    <w:rsid w:val="00CE573B"/>
    <w:rsid w:val="00CE7919"/>
    <w:rsid w:val="00CF3577"/>
    <w:rsid w:val="00D20CCD"/>
    <w:rsid w:val="00D213E3"/>
    <w:rsid w:val="00D22002"/>
    <w:rsid w:val="00D26E8B"/>
    <w:rsid w:val="00D30E65"/>
    <w:rsid w:val="00D32C0E"/>
    <w:rsid w:val="00D93BB1"/>
    <w:rsid w:val="00DA5EF0"/>
    <w:rsid w:val="00DA7F5C"/>
    <w:rsid w:val="00DB7565"/>
    <w:rsid w:val="00DC122C"/>
    <w:rsid w:val="00DC2FDD"/>
    <w:rsid w:val="00DC6D9A"/>
    <w:rsid w:val="00DD00A0"/>
    <w:rsid w:val="00DD3E9E"/>
    <w:rsid w:val="00DE52FE"/>
    <w:rsid w:val="00DE771B"/>
    <w:rsid w:val="00DF2B27"/>
    <w:rsid w:val="00DF4CF9"/>
    <w:rsid w:val="00E007B5"/>
    <w:rsid w:val="00E00AB9"/>
    <w:rsid w:val="00E31DB2"/>
    <w:rsid w:val="00E36C9A"/>
    <w:rsid w:val="00E6447C"/>
    <w:rsid w:val="00EA168B"/>
    <w:rsid w:val="00EA3698"/>
    <w:rsid w:val="00EB1144"/>
    <w:rsid w:val="00EB27CA"/>
    <w:rsid w:val="00EB4FFE"/>
    <w:rsid w:val="00EB6F7D"/>
    <w:rsid w:val="00EC2848"/>
    <w:rsid w:val="00EC589B"/>
    <w:rsid w:val="00EC6471"/>
    <w:rsid w:val="00EE005C"/>
    <w:rsid w:val="00F00724"/>
    <w:rsid w:val="00F019E5"/>
    <w:rsid w:val="00F02DF6"/>
    <w:rsid w:val="00F04075"/>
    <w:rsid w:val="00F13255"/>
    <w:rsid w:val="00F322F8"/>
    <w:rsid w:val="00F3371A"/>
    <w:rsid w:val="00F40F85"/>
    <w:rsid w:val="00F50E15"/>
    <w:rsid w:val="00F85C0B"/>
    <w:rsid w:val="00F975E8"/>
    <w:rsid w:val="00FB25B0"/>
    <w:rsid w:val="00FB5AB6"/>
    <w:rsid w:val="00FB63A4"/>
    <w:rsid w:val="00FC7AF1"/>
    <w:rsid w:val="00FD4DCD"/>
    <w:rsid w:val="00FD6401"/>
    <w:rsid w:val="00FD7F85"/>
    <w:rsid w:val="00FE2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8D49595-6CCA-4A9A-B2F4-DFD30ED7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paragraph" w:customStyle="1" w:styleId="Style">
    <w:name w:val="Style"/>
    <w:basedOn w:val="Normal"/>
    <w:rsid w:val="00AF0195"/>
    <w:pPr>
      <w:widowControl w:val="0"/>
      <w:autoSpaceDE w:val="0"/>
      <w:autoSpaceDN w:val="0"/>
      <w:adjustRightInd w:val="0"/>
      <w:ind w:left="720" w:hanging="720"/>
      <w:jc w:val="left"/>
    </w:pPr>
    <w:rPr>
      <w:rFonts w:ascii="Times New Roman" w:hAnsi="Times New Roman"/>
      <w:sz w:val="20"/>
      <w:szCs w:val="24"/>
      <w:lang w:val="en-US"/>
    </w:rPr>
  </w:style>
  <w:style w:type="paragraph" w:customStyle="1" w:styleId="style81">
    <w:name w:val="style81"/>
    <w:basedOn w:val="Normal"/>
    <w:uiPriority w:val="99"/>
    <w:rsid w:val="003E4800"/>
    <w:pPr>
      <w:spacing w:before="100" w:beforeAutospacing="1" w:after="100" w:afterAutospacing="1"/>
      <w:jc w:val="left"/>
    </w:pPr>
    <w:rPr>
      <w:rFonts w:ascii="Century Gothic" w:hAnsi="Century Gothic"/>
      <w:sz w:val="24"/>
      <w:szCs w:val="24"/>
      <w:lang w:eastAsia="en-AU"/>
    </w:rPr>
  </w:style>
  <w:style w:type="paragraph" w:customStyle="1" w:styleId="Pa0">
    <w:name w:val="Pa0"/>
    <w:basedOn w:val="Default"/>
    <w:next w:val="Default"/>
    <w:rsid w:val="00083762"/>
    <w:pPr>
      <w:spacing w:line="241" w:lineRule="atLeast"/>
    </w:pPr>
    <w:rPr>
      <w:rFonts w:ascii="Trebuchet MS" w:hAnsi="Trebuchet MS" w:cs="Times New Roman"/>
      <w:color w:val="auto"/>
    </w:rPr>
  </w:style>
  <w:style w:type="character" w:customStyle="1" w:styleId="A6">
    <w:name w:val="A6"/>
    <w:rsid w:val="00083762"/>
    <w:rPr>
      <w:rFonts w:ascii="Univers 45 Light" w:hAnsi="Univers 45 Light"/>
      <w:color w:val="000000"/>
      <w:sz w:val="22"/>
    </w:rPr>
  </w:style>
  <w:style w:type="paragraph" w:customStyle="1" w:styleId="Pa8">
    <w:name w:val="Pa8"/>
    <w:basedOn w:val="Default"/>
    <w:next w:val="Default"/>
    <w:rsid w:val="00DF2B27"/>
    <w:pPr>
      <w:spacing w:line="221" w:lineRule="atLeast"/>
    </w:pPr>
    <w:rPr>
      <w:rFonts w:ascii="HelveticaNeueLT Std Cn" w:hAnsi="HelveticaNeueLT Std Cn" w:cs="Times New Roman"/>
      <w:color w:val="auto"/>
    </w:rPr>
  </w:style>
  <w:style w:type="paragraph" w:customStyle="1" w:styleId="Pa2">
    <w:name w:val="Pa2"/>
    <w:basedOn w:val="Default"/>
    <w:next w:val="Default"/>
    <w:rsid w:val="00DF2B27"/>
    <w:pPr>
      <w:spacing w:line="221" w:lineRule="atLeast"/>
    </w:pPr>
    <w:rPr>
      <w:rFonts w:ascii="HelveticaNeueLT Std Cn" w:hAnsi="HelveticaNeueLT Std Cn" w:cs="Times New Roman"/>
      <w:color w:val="auto"/>
    </w:rPr>
  </w:style>
  <w:style w:type="character" w:styleId="FollowedHyperlink">
    <w:name w:val="FollowedHyperlink"/>
    <w:basedOn w:val="DefaultParagraphFont"/>
    <w:uiPriority w:val="99"/>
    <w:semiHidden/>
    <w:unhideWhenUsed/>
    <w:rsid w:val="000A2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6309">
      <w:bodyDiv w:val="1"/>
      <w:marLeft w:val="0"/>
      <w:marRight w:val="0"/>
      <w:marTop w:val="0"/>
      <w:marBottom w:val="0"/>
      <w:divBdr>
        <w:top w:val="none" w:sz="0" w:space="0" w:color="auto"/>
        <w:left w:val="none" w:sz="0" w:space="0" w:color="auto"/>
        <w:bottom w:val="none" w:sz="0" w:space="0" w:color="auto"/>
        <w:right w:val="none" w:sz="0" w:space="0" w:color="auto"/>
      </w:divBdr>
    </w:div>
    <w:div w:id="9317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ntral.org.au/Resources/water-safety.pdf%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ac.acecqa.gov.au/educator-resources/factsheets/qias_factsheet_%20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live.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dsafe.com.au/%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F1AD-E12A-4B73-8EE6-03CBE9D5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Water Safety</vt:lpstr>
    </vt:vector>
  </TitlesOfParts>
  <Company>Toshiba</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dc:title>
  <dc:subject/>
  <dc:creator>Dr Brenda Abbey</dc:creator>
  <cp:keywords/>
  <dc:description/>
  <cp:lastModifiedBy>Maryann Dziedzic</cp:lastModifiedBy>
  <cp:revision>2</cp:revision>
  <cp:lastPrinted>2012-04-14T23:08:00Z</cp:lastPrinted>
  <dcterms:created xsi:type="dcterms:W3CDTF">2018-02-16T08:29:00Z</dcterms:created>
  <dcterms:modified xsi:type="dcterms:W3CDTF">2018-02-16T08:29:00Z</dcterms:modified>
</cp:coreProperties>
</file>